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p>
    <w:p>
      <w:pPr>
        <w:pStyle w:val="Title"/>
        <w:rPr>
          <w:sz w:val="32"/>
          <w:szCs w:val="32"/>
        </w:rPr>
      </w:pPr>
      <w:r>
        <w:rPr>
          <w:rtl w:val="0"/>
          <w:lang w:val="en-US"/>
        </w:rPr>
        <w:t xml:space="preserve">Final Local Discretionary Granting Strategic Directions: 2024-26 </w:t>
        <w:tab/>
        <w:tab/>
        <w:tab/>
        <w:tab/>
        <w:tab/>
        <w:t xml:space="preserve">                                   </w:t>
      </w:r>
      <w:r>
        <w:rPr>
          <w:sz w:val="32"/>
          <w:szCs w:val="32"/>
          <w:rtl w:val="0"/>
          <w:lang w:val="en-US"/>
        </w:rPr>
        <w:t>Final approved document reflecting Board approved changes July 17 2024</w:t>
      </w:r>
    </w:p>
    <w:p>
      <w:pPr>
        <w:pStyle w:val="Heading"/>
        <w:rPr>
          <w:rFonts w:ascii="Calibri" w:cs="Calibri" w:hAnsi="Calibri" w:eastAsia="Calibri"/>
          <w:b w:val="1"/>
          <w:bCs w:val="1"/>
          <w:outline w:val="0"/>
          <w:color w:val="0070c0"/>
          <w:u w:color="0070c0"/>
          <w14:textFill>
            <w14:solidFill>
              <w14:srgbClr w14:val="0070C0"/>
            </w14:solidFill>
          </w14:textFill>
        </w:rPr>
      </w:pPr>
      <w:r>
        <w:rPr>
          <w:rFonts w:ascii="Calibri" w:hAnsi="Calibri"/>
          <w:b w:val="1"/>
          <w:bCs w:val="1"/>
          <w:outline w:val="0"/>
          <w:color w:val="0070c0"/>
          <w:u w:color="0070c0"/>
          <w:rtl w:val="0"/>
          <w:lang w:val="en-US"/>
          <w14:textFill>
            <w14:solidFill>
              <w14:srgbClr w14:val="0070C0"/>
            </w14:solidFill>
          </w14:textFill>
        </w:rPr>
        <w:t>What do we do? Why do we do it?</w:t>
      </w:r>
    </w:p>
    <w:p>
      <w:pPr>
        <w:pStyle w:val="Heading 2"/>
        <w:rPr>
          <w:rFonts w:ascii="Calibri" w:cs="Calibri" w:hAnsi="Calibri" w:eastAsia="Calibri"/>
        </w:rPr>
      </w:pPr>
      <w:r>
        <w:rPr>
          <w:rFonts w:ascii="Calibri" w:hAnsi="Calibri"/>
          <w:b w:val="1"/>
          <w:bCs w:val="1"/>
          <w:i w:val="1"/>
          <w:iCs w:val="1"/>
          <w:outline w:val="0"/>
          <w:color w:val="0070c0"/>
          <w:u w:color="0070c0"/>
          <w:rtl w:val="0"/>
          <w:lang w:val="en-US"/>
          <w14:textFill>
            <w14:solidFill>
              <w14:srgbClr w14:val="0070C0"/>
            </w14:solidFill>
          </w14:textFill>
        </w:rPr>
        <w:t>(Our mission and vision)</w:t>
      </w:r>
    </w:p>
    <w:p>
      <w:pPr>
        <w:pStyle w:val="paragraph"/>
        <w:spacing w:before="0" w:after="0"/>
        <w:rPr>
          <w:rFonts w:ascii="Calibri" w:cs="Calibri" w:hAnsi="Calibri" w:eastAsia="Calibri"/>
        </w:rPr>
      </w:pPr>
      <w:r>
        <w:rPr>
          <w:rFonts w:ascii="Calibri" w:hAnsi="Calibri"/>
          <w:b w:val="1"/>
          <w:bCs w:val="1"/>
          <w:rtl w:val="0"/>
          <w:lang w:val="en-US"/>
        </w:rPr>
        <w:t xml:space="preserve">Mission: </w:t>
      </w:r>
      <w:r>
        <w:rPr>
          <w:rFonts w:ascii="Calibri" w:hAnsi="Calibri"/>
          <w:rtl w:val="0"/>
          <w:lang w:val="en-US"/>
        </w:rPr>
        <w:t>RCCD provides unique opportunities for community service by allowing likeminded members to use their skills, experience, and resources to make a difference in the lives of others.</w:t>
      </w:r>
    </w:p>
    <w:p>
      <w:pPr>
        <w:pStyle w:val="paragraph"/>
        <w:spacing w:before="0" w:after="0"/>
        <w:rPr>
          <w:rFonts w:ascii="Segoe UI" w:cs="Segoe UI" w:hAnsi="Segoe UI" w:eastAsia="Segoe UI"/>
        </w:rPr>
      </w:pPr>
      <w:r>
        <w:rPr>
          <w:rFonts w:ascii="Calibri" w:hAnsi="Calibri" w:hint="default"/>
          <w:rtl w:val="0"/>
          <w:lang w:val="en-US"/>
        </w:rPr>
        <w:t> </w:t>
      </w:r>
    </w:p>
    <w:p>
      <w:pPr>
        <w:pStyle w:val="paragraph"/>
        <w:spacing w:before="0" w:after="0"/>
        <w:rPr>
          <w:rFonts w:ascii="Calibri" w:cs="Calibri" w:hAnsi="Calibri" w:eastAsia="Calibri"/>
        </w:rPr>
      </w:pPr>
      <w:r>
        <w:rPr>
          <w:rFonts w:ascii="Calibri" w:hAnsi="Calibri"/>
          <w:b w:val="1"/>
          <w:bCs w:val="1"/>
          <w:rtl w:val="0"/>
          <w:lang w:val="en-US"/>
        </w:rPr>
        <w:t xml:space="preserve">Vision: </w:t>
      </w:r>
      <w:r>
        <w:rPr>
          <w:rFonts w:ascii="Calibri" w:hAnsi="Calibri"/>
          <w:rtl w:val="0"/>
          <w:lang w:val="en-US"/>
        </w:rPr>
        <w:t>RCCD is committed to improving the quality of life in the communities we support, and for our partners and Club members. It is a sustaining community investor, inspiring others towards service and philanthropy, a model for the values of Rotary within the communities we serve locally and internationally.</w:t>
      </w:r>
      <w:r>
        <w:rPr>
          <w:rFonts w:ascii="Calibri" w:hAnsi="Calibri" w:hint="default"/>
          <w:rtl w:val="0"/>
          <w:lang w:val="en-US"/>
        </w:rPr>
        <w:t>  </w:t>
      </w:r>
    </w:p>
    <w:p>
      <w:pPr>
        <w:pStyle w:val="Heading"/>
        <w:rPr>
          <w:rFonts w:ascii="Calibri" w:cs="Calibri" w:hAnsi="Calibri" w:eastAsia="Calibri"/>
          <w:b w:val="1"/>
          <w:bCs w:val="1"/>
          <w:outline w:val="0"/>
          <w:color w:val="0070c0"/>
          <w:u w:color="0070c0"/>
          <w14:textFill>
            <w14:solidFill>
              <w14:srgbClr w14:val="0070C0"/>
            </w14:solidFill>
          </w14:textFill>
        </w:rPr>
      </w:pPr>
      <w:r>
        <w:rPr>
          <w:rFonts w:ascii="Calibri" w:hAnsi="Calibri"/>
          <w:b w:val="1"/>
          <w:bCs w:val="1"/>
          <w:outline w:val="0"/>
          <w:color w:val="0070c0"/>
          <w:u w:color="0070c0"/>
          <w:rtl w:val="0"/>
          <w:lang w:val="en-US"/>
          <w14:textFill>
            <w14:solidFill>
              <w14:srgbClr w14:val="0070C0"/>
            </w14:solidFill>
          </w14:textFill>
        </w:rPr>
        <w:t xml:space="preserve">How do we do it? </w:t>
      </w:r>
    </w:p>
    <w:p>
      <w:pPr>
        <w:pStyle w:val="Heading 2"/>
        <w:rPr>
          <w:rFonts w:ascii="Calibri" w:cs="Calibri" w:hAnsi="Calibri" w:eastAsia="Calibri"/>
          <w:b w:val="1"/>
          <w:bCs w:val="1"/>
          <w:outline w:val="0"/>
          <w:color w:val="0070c0"/>
          <w:u w:color="0070c0"/>
          <w14:textFill>
            <w14:solidFill>
              <w14:srgbClr w14:val="0070C0"/>
            </w14:solidFill>
          </w14:textFill>
        </w:rPr>
      </w:pPr>
      <w:r>
        <w:rPr>
          <w:rFonts w:ascii="Calibri" w:hAnsi="Calibri"/>
          <w:b w:val="1"/>
          <w:bCs w:val="1"/>
          <w:i w:val="1"/>
          <w:iCs w:val="1"/>
          <w:outline w:val="0"/>
          <w:color w:val="0070c0"/>
          <w:u w:color="0070c0"/>
          <w:rtl w:val="0"/>
          <w:lang w:val="en-US"/>
          <w14:textFill>
            <w14:solidFill>
              <w14:srgbClr w14:val="0070C0"/>
            </w14:solidFill>
          </w14:textFill>
        </w:rPr>
        <w:t>(Our roles)</w:t>
      </w:r>
    </w:p>
    <w:p>
      <w:pPr>
        <w:pStyle w:val="paragraph"/>
        <w:spacing w:before="0" w:after="0"/>
        <w:rPr>
          <w:rFonts w:ascii="Calibri" w:cs="Calibri" w:hAnsi="Calibri" w:eastAsia="Calibri"/>
        </w:rPr>
      </w:pPr>
      <w:r>
        <w:rPr>
          <w:rFonts w:ascii="Calibri" w:hAnsi="Calibri"/>
          <w:rtl w:val="0"/>
          <w:lang w:val="en-US"/>
        </w:rPr>
        <w:t>RCCD pursues its mission and vision by:</w:t>
      </w:r>
    </w:p>
    <w:p>
      <w:pPr>
        <w:pStyle w:val="paragraph"/>
        <w:spacing w:before="0" w:after="0"/>
        <w:rPr>
          <w:rFonts w:ascii="Calibri" w:cs="Calibri" w:hAnsi="Calibri" w:eastAsia="Calibri"/>
          <w:sz w:val="16"/>
          <w:szCs w:val="16"/>
        </w:rPr>
      </w:pPr>
    </w:p>
    <w:p>
      <w:pPr>
        <w:pStyle w:val="paragraph"/>
        <w:numPr>
          <w:ilvl w:val="0"/>
          <w:numId w:val="2"/>
        </w:numPr>
        <w:bidi w:val="0"/>
        <w:spacing w:before="0" w:after="0"/>
        <w:ind w:right="0"/>
        <w:jc w:val="left"/>
        <w:rPr>
          <w:rFonts w:ascii="Calibri" w:hAnsi="Calibri"/>
          <w:rtl w:val="0"/>
          <w:lang w:val="en-US"/>
        </w:rPr>
      </w:pPr>
      <w:r>
        <w:rPr>
          <w:rFonts w:ascii="Calibri" w:hAnsi="Calibri"/>
          <w:b w:val="1"/>
          <w:bCs w:val="1"/>
          <w:rtl w:val="0"/>
          <w:lang w:val="en-US"/>
        </w:rPr>
        <w:t xml:space="preserve">Granting </w:t>
      </w:r>
      <w:r>
        <w:rPr>
          <w:rFonts w:ascii="Calibri" w:hAnsi="Calibri" w:hint="default"/>
          <w:b w:val="1"/>
          <w:bCs w:val="1"/>
          <w:rtl w:val="0"/>
          <w:lang w:val="en-US"/>
        </w:rPr>
        <w:t xml:space="preserve">– </w:t>
      </w:r>
      <w:r>
        <w:rPr>
          <w:rFonts w:ascii="Calibri" w:hAnsi="Calibri"/>
          <w:rtl w:val="0"/>
          <w:lang w:val="en-US"/>
        </w:rPr>
        <w:t>We invest in programs and projects (reactively, collaboratively with other Clubs and funders, at the initiative of Club members, and proactively inviting applications) that improve the quality of life locally and internationally.</w:t>
      </w:r>
    </w:p>
    <w:p>
      <w:pPr>
        <w:pStyle w:val="paragraph"/>
        <w:numPr>
          <w:ilvl w:val="0"/>
          <w:numId w:val="2"/>
        </w:numPr>
        <w:bidi w:val="0"/>
        <w:spacing w:before="0" w:after="0"/>
        <w:ind w:right="0"/>
        <w:jc w:val="left"/>
        <w:rPr>
          <w:rFonts w:ascii="Calibri" w:hAnsi="Calibri"/>
          <w:rtl w:val="0"/>
          <w:lang w:val="en-US"/>
        </w:rPr>
      </w:pPr>
      <w:r>
        <w:rPr>
          <w:rFonts w:ascii="Calibri" w:hAnsi="Calibri"/>
          <w:b w:val="1"/>
          <w:bCs w:val="1"/>
          <w:rtl w:val="0"/>
          <w:lang w:val="en-US"/>
        </w:rPr>
        <w:t xml:space="preserve">Convening </w:t>
      </w:r>
      <w:r>
        <w:rPr>
          <w:rFonts w:ascii="Calibri" w:hAnsi="Calibri" w:hint="default"/>
          <w:b w:val="1"/>
          <w:bCs w:val="1"/>
          <w:rtl w:val="0"/>
          <w:lang w:val="en-US"/>
        </w:rPr>
        <w:t xml:space="preserve">– </w:t>
      </w:r>
      <w:r>
        <w:rPr>
          <w:rFonts w:ascii="Calibri" w:hAnsi="Calibri"/>
          <w:rtl w:val="0"/>
          <w:lang w:val="en-US"/>
        </w:rPr>
        <w:t>We identify, engage stakeholders in, coordinate and/or actively support collaborative efforts to bring solutions to community issues.</w:t>
      </w:r>
    </w:p>
    <w:p>
      <w:pPr>
        <w:pStyle w:val="paragraph"/>
        <w:numPr>
          <w:ilvl w:val="0"/>
          <w:numId w:val="2"/>
        </w:numPr>
        <w:bidi w:val="0"/>
        <w:spacing w:before="0" w:after="0"/>
        <w:ind w:right="0"/>
        <w:jc w:val="left"/>
        <w:rPr>
          <w:rFonts w:ascii="Calibri" w:hAnsi="Calibri"/>
          <w:rtl w:val="0"/>
          <w:lang w:val="en-US"/>
        </w:rPr>
      </w:pPr>
      <w:r>
        <w:rPr>
          <w:rFonts w:ascii="Calibri" w:hAnsi="Calibri"/>
          <w:b w:val="1"/>
          <w:bCs w:val="1"/>
          <w:rtl w:val="0"/>
          <w:lang w:val="en-US"/>
        </w:rPr>
        <w:t xml:space="preserve">Learning </w:t>
      </w:r>
      <w:r>
        <w:rPr>
          <w:rFonts w:ascii="Calibri" w:hAnsi="Calibri" w:hint="default"/>
          <w:b w:val="1"/>
          <w:bCs w:val="1"/>
          <w:rtl w:val="0"/>
          <w:lang w:val="en-US"/>
        </w:rPr>
        <w:t xml:space="preserve">– </w:t>
      </w:r>
      <w:r>
        <w:rPr>
          <w:rFonts w:ascii="Calibri" w:hAnsi="Calibri"/>
          <w:rtl w:val="0"/>
          <w:lang w:val="en-US"/>
        </w:rPr>
        <w:t>We pursue knowledge and educate Club members and others about community needs, issues, and solutions.</w:t>
      </w:r>
    </w:p>
    <w:p>
      <w:pPr>
        <w:pStyle w:val="paragraph"/>
        <w:numPr>
          <w:ilvl w:val="0"/>
          <w:numId w:val="2"/>
        </w:numPr>
        <w:bidi w:val="0"/>
        <w:spacing w:before="0" w:after="0"/>
        <w:ind w:right="0"/>
        <w:jc w:val="left"/>
        <w:rPr>
          <w:rFonts w:ascii="Calibri" w:hAnsi="Calibri"/>
          <w:rtl w:val="0"/>
          <w:lang w:val="en-US"/>
        </w:rPr>
      </w:pPr>
      <w:r>
        <w:rPr>
          <w:rFonts w:ascii="Calibri" w:hAnsi="Calibri"/>
          <w:b w:val="1"/>
          <w:bCs w:val="1"/>
          <w:rtl w:val="0"/>
          <w:lang w:val="en-US"/>
        </w:rPr>
        <w:t xml:space="preserve">Club member engagement </w:t>
      </w:r>
      <w:r>
        <w:rPr>
          <w:rFonts w:ascii="Calibri" w:hAnsi="Calibri" w:hint="default"/>
          <w:b w:val="1"/>
          <w:bCs w:val="1"/>
          <w:rtl w:val="0"/>
          <w:lang w:val="en-US"/>
        </w:rPr>
        <w:t xml:space="preserve">– </w:t>
      </w:r>
      <w:r>
        <w:rPr>
          <w:rFonts w:ascii="Calibri" w:hAnsi="Calibri"/>
          <w:rtl w:val="0"/>
          <w:lang w:val="en-US"/>
        </w:rPr>
        <w:t>We volunteer and become directly involved in community causes, programs, and projects.</w:t>
      </w:r>
      <w:r>
        <w:rPr>
          <w:rFonts w:ascii="Calibri" w:hAnsi="Calibri" w:hint="default"/>
          <w:rtl w:val="0"/>
          <w:lang w:val="en-US"/>
        </w:rPr>
        <w:t> </w:t>
      </w:r>
    </w:p>
    <w:p>
      <w:pPr>
        <w:pStyle w:val="paragraph"/>
        <w:numPr>
          <w:ilvl w:val="0"/>
          <w:numId w:val="2"/>
        </w:numPr>
        <w:bidi w:val="0"/>
        <w:spacing w:before="0" w:after="0"/>
        <w:ind w:right="0"/>
        <w:jc w:val="left"/>
        <w:rPr>
          <w:rFonts w:ascii="Calibri" w:hAnsi="Calibri"/>
          <w:rtl w:val="0"/>
          <w:lang w:val="en-US"/>
        </w:rPr>
      </w:pPr>
      <w:r>
        <w:rPr>
          <w:rFonts w:ascii="Calibri" w:hAnsi="Calibri"/>
          <w:b w:val="1"/>
          <w:bCs w:val="1"/>
          <w:rtl w:val="0"/>
          <w:lang w:val="en-US"/>
        </w:rPr>
        <w:t>Fundraising</w:t>
      </w:r>
      <w:r>
        <w:rPr>
          <w:rFonts w:ascii="Calibri" w:hAnsi="Calibri" w:hint="default"/>
          <w:rtl w:val="0"/>
          <w:lang w:val="en-US"/>
        </w:rPr>
        <w:t xml:space="preserve"> – </w:t>
      </w:r>
      <w:r>
        <w:rPr>
          <w:rFonts w:ascii="Calibri" w:hAnsi="Calibri"/>
          <w:rtl w:val="0"/>
          <w:lang w:val="en-US"/>
        </w:rPr>
        <w:t>We raise funds to support the Club</w:t>
      </w:r>
      <w:r>
        <w:rPr>
          <w:rFonts w:ascii="Calibri" w:hAnsi="Calibri" w:hint="default"/>
          <w:rtl w:val="0"/>
          <w:lang w:val="en-US"/>
        </w:rPr>
        <w:t>’</w:t>
      </w:r>
      <w:r>
        <w:rPr>
          <w:rFonts w:ascii="Calibri" w:hAnsi="Calibri"/>
          <w:rtl w:val="0"/>
          <w:lang w:val="en-US"/>
        </w:rPr>
        <w:t>s community investments and activities.</w:t>
      </w:r>
    </w:p>
    <w:p>
      <w:pPr>
        <w:pStyle w:val="Heading"/>
        <w:spacing w:line="240" w:lineRule="auto"/>
        <w:rPr>
          <w:rFonts w:ascii="Calibri" w:cs="Calibri" w:hAnsi="Calibri" w:eastAsia="Calibri"/>
          <w:b w:val="1"/>
          <w:bCs w:val="1"/>
          <w:outline w:val="0"/>
          <w:color w:val="0070c0"/>
          <w:u w:color="0070c0"/>
          <w14:textFill>
            <w14:solidFill>
              <w14:srgbClr w14:val="0070C0"/>
            </w14:solidFill>
          </w14:textFill>
        </w:rPr>
      </w:pPr>
      <w:r>
        <w:rPr>
          <w:rFonts w:ascii="Calibri" w:hAnsi="Calibri"/>
          <w:b w:val="1"/>
          <w:bCs w:val="1"/>
          <w:outline w:val="0"/>
          <w:color w:val="0070c0"/>
          <w:u w:color="0070c0"/>
          <w:rtl w:val="0"/>
          <w:lang w:val="en-US"/>
          <w14:textFill>
            <w14:solidFill>
              <w14:srgbClr w14:val="0070C0"/>
            </w14:solidFill>
          </w14:textFill>
        </w:rPr>
        <w:t xml:space="preserve">What do we focus on? </w:t>
      </w:r>
    </w:p>
    <w:p>
      <w:pPr>
        <w:pStyle w:val="Heading 2"/>
        <w:rPr>
          <w:rFonts w:ascii="Calibri" w:cs="Calibri" w:hAnsi="Calibri" w:eastAsia="Calibri"/>
          <w:b w:val="1"/>
          <w:bCs w:val="1"/>
          <w:outline w:val="0"/>
          <w:color w:val="0070c0"/>
          <w:u w:color="0070c0"/>
          <w14:textFill>
            <w14:solidFill>
              <w14:srgbClr w14:val="0070C0"/>
            </w14:solidFill>
          </w14:textFill>
        </w:rPr>
      </w:pPr>
      <w:r>
        <w:rPr>
          <w:rFonts w:ascii="Calibri" w:hAnsi="Calibri"/>
          <w:b w:val="1"/>
          <w:bCs w:val="1"/>
          <w:i w:val="1"/>
          <w:iCs w:val="1"/>
          <w:outline w:val="0"/>
          <w:color w:val="0070c0"/>
          <w:u w:color="0070c0"/>
          <w:rtl w:val="0"/>
          <w:lang w:val="en-US"/>
          <w14:textFill>
            <w14:solidFill>
              <w14:srgbClr w14:val="0070C0"/>
            </w14:solidFill>
          </w14:textFill>
        </w:rPr>
        <w:t>(Our priorities)</w:t>
      </w:r>
    </w:p>
    <w:p>
      <w:pPr>
        <w:pStyle w:val="paragraph"/>
        <w:keepNext w:val="1"/>
        <w:keepLines w:val="1"/>
        <w:spacing w:before="0" w:after="0"/>
        <w:rPr>
          <w:rFonts w:ascii="Calibri" w:cs="Calibri" w:hAnsi="Calibri" w:eastAsia="Calibri"/>
        </w:rPr>
      </w:pPr>
    </w:p>
    <w:p>
      <w:pPr>
        <w:pStyle w:val="paragraph"/>
        <w:keepNext w:val="1"/>
        <w:keepLines w:val="1"/>
        <w:spacing w:before="0" w:after="0"/>
        <w:rPr>
          <w:rFonts w:ascii="Calibri" w:cs="Calibri" w:hAnsi="Calibri" w:eastAsia="Calibri"/>
        </w:rPr>
      </w:pPr>
      <w:r>
        <w:rPr>
          <w:rFonts w:ascii="Calibri" w:hAnsi="Calibri"/>
          <w:rtl w:val="0"/>
          <w:lang w:val="en-US"/>
        </w:rPr>
        <w:t>From 2024-26, RCCD</w:t>
      </w:r>
      <w:r>
        <w:rPr>
          <w:rFonts w:ascii="Calibri" w:hAnsi="Calibri" w:hint="default"/>
          <w:rtl w:val="0"/>
          <w:lang w:val="en-US"/>
        </w:rPr>
        <w:t>’</w:t>
      </w:r>
      <w:r>
        <w:rPr>
          <w:rFonts w:ascii="Calibri" w:hAnsi="Calibri"/>
          <w:rtl w:val="0"/>
          <w:lang w:val="en-US"/>
        </w:rPr>
        <w:t xml:space="preserve">s </w:t>
      </w:r>
      <w:r>
        <w:rPr>
          <w:rFonts w:ascii="Calibri" w:hAnsi="Calibri"/>
          <w:b w:val="1"/>
          <w:bCs w:val="1"/>
          <w:i w:val="1"/>
          <w:iCs w:val="1"/>
          <w:rtl w:val="0"/>
          <w:lang w:val="en-US"/>
        </w:rPr>
        <w:t>local discretionary granting and community service</w:t>
      </w:r>
      <w:r>
        <w:rPr>
          <w:rFonts w:ascii="Calibri" w:hAnsi="Calibri"/>
          <w:rtl w:val="0"/>
          <w:lang w:val="en-US"/>
        </w:rPr>
        <w:t xml:space="preserve"> focus on:</w:t>
      </w:r>
    </w:p>
    <w:p>
      <w:pPr>
        <w:pStyle w:val="paragraph"/>
        <w:keepNext w:val="1"/>
        <w:keepLines w:val="1"/>
        <w:spacing w:before="0" w:after="0"/>
        <w:rPr>
          <w:rFonts w:ascii="Calibri" w:cs="Calibri" w:hAnsi="Calibri" w:eastAsia="Calibri"/>
        </w:rPr>
      </w:pPr>
    </w:p>
    <w:p>
      <w:pPr>
        <w:pStyle w:val="paragraph"/>
        <w:keepNext w:val="1"/>
        <w:keepLines w:val="1"/>
        <w:numPr>
          <w:ilvl w:val="0"/>
          <w:numId w:val="4"/>
        </w:numPr>
        <w:bidi w:val="0"/>
        <w:spacing w:before="0" w:after="0"/>
        <w:ind w:right="0"/>
        <w:jc w:val="left"/>
        <w:rPr>
          <w:rFonts w:ascii="Calibri" w:hAnsi="Calibri"/>
          <w:rtl w:val="0"/>
          <w:lang w:val="en-US"/>
        </w:rPr>
      </w:pPr>
      <w:r>
        <w:rPr>
          <w:rFonts w:ascii="Calibri" w:hAnsi="Calibri"/>
          <w:b w:val="1"/>
          <w:bCs w:val="1"/>
          <w:rtl w:val="0"/>
          <w:lang w:val="en-US"/>
        </w:rPr>
        <w:t xml:space="preserve">Early Childhood Literacy </w:t>
      </w:r>
      <w:r>
        <w:rPr>
          <w:rFonts w:ascii="Calibri" w:hAnsi="Calibri" w:hint="default"/>
          <w:rtl w:val="0"/>
          <w:lang w:val="en-US"/>
        </w:rPr>
        <w:t>–</w:t>
      </w:r>
      <w:r>
        <w:rPr>
          <w:rFonts w:ascii="Calibri" w:hAnsi="Calibri"/>
          <w:rtl w:val="0"/>
          <w:lang w:val="en-US"/>
        </w:rPr>
        <w:t>Calgary</w:t>
      </w:r>
      <w:r>
        <w:rPr>
          <w:rFonts w:ascii="Calibri" w:hAnsi="Calibri" w:hint="default"/>
          <w:rtl w:val="0"/>
          <w:lang w:val="en-US"/>
        </w:rPr>
        <w:t>’</w:t>
      </w:r>
      <w:r>
        <w:rPr>
          <w:rFonts w:ascii="Calibri" w:hAnsi="Calibri"/>
          <w:rtl w:val="0"/>
          <w:lang w:val="en-US"/>
        </w:rPr>
        <w:t>s children, from birth to age eight, have knowledgeable and caring reading role models, and books of their own, so they can learn to read, experience the pleasure of reading, and read to learn by the end of Grade 3.</w:t>
      </w:r>
    </w:p>
    <w:p>
      <w:pPr>
        <w:pStyle w:val="paragraph"/>
        <w:numPr>
          <w:ilvl w:val="0"/>
          <w:numId w:val="4"/>
        </w:numPr>
        <w:bidi w:val="0"/>
        <w:spacing w:before="0" w:after="0"/>
        <w:ind w:right="0"/>
        <w:jc w:val="left"/>
        <w:rPr>
          <w:rFonts w:ascii="Calibri" w:hAnsi="Calibri"/>
          <w:rtl w:val="0"/>
          <w:lang w:val="en-US"/>
        </w:rPr>
      </w:pPr>
      <w:r>
        <w:rPr>
          <w:rFonts w:ascii="Calibri" w:hAnsi="Calibri"/>
          <w:b w:val="1"/>
          <w:bCs w:val="1"/>
          <w:rtl w:val="0"/>
          <w:lang w:val="en-US"/>
        </w:rPr>
        <w:t xml:space="preserve">Education - </w:t>
      </w:r>
      <w:r>
        <w:rPr>
          <w:rFonts w:ascii="Calibri" w:hAnsi="Calibri"/>
          <w:rtl w:val="0"/>
          <w:lang w:val="en-US"/>
        </w:rPr>
        <w:t>All</w:t>
      </w:r>
      <w:r>
        <w:rPr>
          <w:rFonts w:ascii="Calibri" w:hAnsi="Calibri"/>
          <w:b w:val="1"/>
          <w:bCs w:val="1"/>
          <w:rtl w:val="0"/>
          <w:lang w:val="en-US"/>
        </w:rPr>
        <w:t xml:space="preserve"> </w:t>
      </w:r>
      <w:r>
        <w:rPr>
          <w:rFonts w:ascii="Calibri" w:hAnsi="Calibri"/>
          <w:rtl w:val="0"/>
          <w:lang w:val="en-US"/>
        </w:rPr>
        <w:t>Calgarians</w:t>
      </w:r>
      <w:r>
        <w:rPr>
          <w:rFonts w:ascii="Times New Roman" w:hAnsi="Times New Roman"/>
          <w:rtl w:val="0"/>
          <w:lang w:val="en-US"/>
        </w:rPr>
        <w:t xml:space="preserve"> </w:t>
      </w:r>
      <w:r>
        <w:rPr>
          <w:rFonts w:ascii="Calibri" w:hAnsi="Calibri"/>
          <w:rtl w:val="0"/>
          <w:lang w:val="en-US"/>
        </w:rPr>
        <w:t>have the necessary personal and community supports to learn,  graduate from high school, and pursue post -secondary education.</w:t>
      </w:r>
    </w:p>
    <w:p>
      <w:pPr>
        <w:pStyle w:val="paragraph"/>
        <w:numPr>
          <w:ilvl w:val="0"/>
          <w:numId w:val="4"/>
        </w:numPr>
        <w:bidi w:val="0"/>
        <w:spacing w:before="0" w:after="0"/>
        <w:ind w:right="0"/>
        <w:jc w:val="left"/>
        <w:rPr>
          <w:rFonts w:ascii="Calibri" w:hAnsi="Calibri"/>
          <w:rtl w:val="0"/>
          <w:lang w:val="en-US"/>
        </w:rPr>
      </w:pPr>
      <w:r>
        <w:rPr>
          <w:rFonts w:ascii="Calibri" w:hAnsi="Calibri"/>
          <w:b w:val="1"/>
          <w:bCs w:val="1"/>
          <w:rtl w:val="0"/>
          <w:lang w:val="en-US"/>
        </w:rPr>
        <w:t>Food Security</w:t>
      </w:r>
      <w:r>
        <w:rPr>
          <w:rFonts w:ascii="Calibri" w:hAnsi="Calibri" w:hint="default"/>
          <w:rtl w:val="0"/>
          <w:lang w:val="en-US"/>
        </w:rPr>
        <w:t> </w:t>
      </w:r>
      <w:r>
        <w:rPr>
          <w:rFonts w:ascii="Calibri" w:hAnsi="Calibri"/>
          <w:rtl w:val="0"/>
          <w:lang w:val="en-US"/>
        </w:rPr>
        <w:t>- Calgarians have consistent, reliable access to sufficient, safe, nutritious, culturally appropriate food.</w:t>
      </w:r>
    </w:p>
    <w:p>
      <w:pPr>
        <w:pStyle w:val="paragraph"/>
        <w:numPr>
          <w:ilvl w:val="0"/>
          <w:numId w:val="4"/>
        </w:numPr>
        <w:bidi w:val="0"/>
        <w:spacing w:before="0" w:after="0"/>
        <w:ind w:right="0"/>
        <w:jc w:val="left"/>
        <w:rPr>
          <w:rFonts w:ascii="Calibri" w:hAnsi="Calibri"/>
          <w:rtl w:val="0"/>
          <w:lang w:val="en-US"/>
        </w:rPr>
      </w:pPr>
      <w:r>
        <w:rPr>
          <w:rFonts w:ascii="Calibri" w:hAnsi="Calibri"/>
          <w:b w:val="1"/>
          <w:bCs w:val="1"/>
          <w:rtl w:val="0"/>
          <w:lang w:val="en-US"/>
        </w:rPr>
        <w:t xml:space="preserve">Mental Wellness </w:t>
      </w:r>
      <w:r>
        <w:rPr>
          <w:rFonts w:ascii="Calibri" w:hAnsi="Calibri" w:hint="default"/>
          <w:b w:val="1"/>
          <w:bCs w:val="1"/>
          <w:rtl w:val="0"/>
          <w:lang w:val="en-US"/>
        </w:rPr>
        <w:t xml:space="preserve">– </w:t>
      </w:r>
      <w:r>
        <w:rPr>
          <w:rFonts w:ascii="Calibri" w:hAnsi="Calibri"/>
          <w:rtl w:val="0"/>
          <w:lang w:val="en-US"/>
        </w:rPr>
        <w:t>Calgarians have a sense of belonging and acceptance, have skills and supports to cope with problems, and feel safe in the community. Calgarians living with mental health issues and addictions can get the help they need when, where, and how they need it.</w:t>
      </w:r>
    </w:p>
    <w:p>
      <w:pPr>
        <w:pStyle w:val="paragraph"/>
        <w:spacing w:before="0" w:after="0"/>
        <w:rPr>
          <w:rFonts w:ascii="Calibri" w:cs="Calibri" w:hAnsi="Calibri" w:eastAsia="Calibri"/>
        </w:rPr>
      </w:pPr>
    </w:p>
    <w:p>
      <w:pPr>
        <w:pStyle w:val="paragraph"/>
        <w:spacing w:before="0" w:after="0"/>
        <w:rPr>
          <w:rFonts w:ascii="Calibri" w:cs="Calibri" w:hAnsi="Calibri" w:eastAsia="Calibri"/>
        </w:rPr>
      </w:pPr>
      <w:r>
        <w:rPr>
          <w:rFonts w:ascii="Calibri" w:hAnsi="Calibri"/>
          <w:rtl w:val="0"/>
          <w:lang w:val="en-US"/>
        </w:rPr>
        <w:t xml:space="preserve">The above priorities are preferred - but not exclusive - areas of impact. RCCD may support projects that fall out of these priorities if they represent substantial, unique partnership opportunities, address urgent emerging issues, and/or support significant Club member interests. </w:t>
      </w:r>
    </w:p>
    <w:p>
      <w:pPr>
        <w:pStyle w:val="Heading"/>
        <w:rPr>
          <w:rFonts w:ascii="Calibri" w:cs="Calibri" w:hAnsi="Calibri" w:eastAsia="Calibri"/>
          <w:b w:val="1"/>
          <w:bCs w:val="1"/>
          <w:outline w:val="0"/>
          <w:color w:val="0070c0"/>
          <w:u w:color="0070c0"/>
          <w14:textFill>
            <w14:solidFill>
              <w14:srgbClr w14:val="0070C0"/>
            </w14:solidFill>
          </w14:textFill>
        </w:rPr>
      </w:pPr>
      <w:r>
        <w:rPr>
          <w:rFonts w:ascii="Calibri" w:hAnsi="Calibri"/>
          <w:b w:val="1"/>
          <w:bCs w:val="1"/>
          <w:outline w:val="0"/>
          <w:color w:val="0070c0"/>
          <w:u w:color="0070c0"/>
          <w:rtl w:val="0"/>
          <w:lang w:val="en-US"/>
          <w14:textFill>
            <w14:solidFill>
              <w14:srgbClr w14:val="0070C0"/>
            </w14:solidFill>
          </w14:textFill>
        </w:rPr>
        <w:t xml:space="preserve">What guides our local discretionary granting work? </w:t>
      </w:r>
    </w:p>
    <w:p>
      <w:pPr>
        <w:pStyle w:val="Subtitle"/>
        <w:rPr>
          <w:rFonts w:ascii="Calibri" w:cs="Calibri" w:hAnsi="Calibri" w:eastAsia="Calibri"/>
          <w:b w:val="1"/>
          <w:bCs w:val="1"/>
          <w:i w:val="1"/>
          <w:iCs w:val="1"/>
          <w:outline w:val="0"/>
          <w:color w:val="0070c0"/>
          <w:u w:color="0070c0"/>
          <w14:textFill>
            <w14:solidFill>
              <w14:srgbClr w14:val="0070C0"/>
            </w14:solidFill>
          </w14:textFill>
        </w:rPr>
      </w:pPr>
      <w:r>
        <w:rPr>
          <w:rFonts w:ascii="Calibri" w:hAnsi="Calibri"/>
          <w:b w:val="1"/>
          <w:bCs w:val="1"/>
          <w:i w:val="1"/>
          <w:iCs w:val="1"/>
          <w:outline w:val="0"/>
          <w:color w:val="0070c0"/>
          <w:u w:color="0070c0"/>
          <w:rtl w:val="0"/>
          <w:lang w:val="en-US"/>
          <w14:textFill>
            <w14:solidFill>
              <w14:srgbClr w14:val="0070C0"/>
            </w14:solidFill>
          </w14:textFill>
        </w:rPr>
        <w:t xml:space="preserve">(Our overarching principles and </w:t>
      </w:r>
      <w:r>
        <w:rPr>
          <w:rFonts w:ascii="Calibri" w:hAnsi="Calibri" w:hint="default"/>
          <w:b w:val="1"/>
          <w:bCs w:val="1"/>
          <w:i w:val="1"/>
          <w:iCs w:val="1"/>
          <w:outline w:val="0"/>
          <w:color w:val="0070c0"/>
          <w:u w:color="0070c0"/>
          <w:rtl w:val="0"/>
          <w:lang w:val="en-US"/>
          <w14:textFill>
            <w14:solidFill>
              <w14:srgbClr w14:val="0070C0"/>
            </w14:solidFill>
          </w14:textFill>
        </w:rPr>
        <w:t>“</w:t>
      </w:r>
      <w:r>
        <w:rPr>
          <w:rFonts w:ascii="Calibri" w:hAnsi="Calibri"/>
          <w:b w:val="1"/>
          <w:bCs w:val="1"/>
          <w:i w:val="1"/>
          <w:iCs w:val="1"/>
          <w:outline w:val="0"/>
          <w:color w:val="0070c0"/>
          <w:u w:color="0070c0"/>
          <w:rtl w:val="0"/>
          <w:lang w:val="en-US"/>
          <w14:textFill>
            <w14:solidFill>
              <w14:srgbClr w14:val="0070C0"/>
            </w14:solidFill>
          </w14:textFill>
        </w:rPr>
        <w:t>strategy screen</w:t>
      </w:r>
      <w:r>
        <w:rPr>
          <w:rFonts w:ascii="Calibri" w:hAnsi="Calibri" w:hint="default"/>
          <w:b w:val="1"/>
          <w:bCs w:val="1"/>
          <w:i w:val="1"/>
          <w:iCs w:val="1"/>
          <w:outline w:val="0"/>
          <w:color w:val="0070c0"/>
          <w:u w:color="0070c0"/>
          <w:rtl w:val="0"/>
          <w:lang w:val="en-US"/>
          <w14:textFill>
            <w14:solidFill>
              <w14:srgbClr w14:val="0070C0"/>
            </w14:solidFill>
          </w14:textFill>
        </w:rPr>
        <w:t>”</w:t>
      </w:r>
      <w:r>
        <w:rPr>
          <w:rFonts w:ascii="Calibri" w:hAnsi="Calibri"/>
          <w:b w:val="1"/>
          <w:bCs w:val="1"/>
          <w:i w:val="1"/>
          <w:iCs w:val="1"/>
          <w:outline w:val="0"/>
          <w:color w:val="0070c0"/>
          <w:u w:color="0070c0"/>
          <w:rtl w:val="0"/>
          <w:lang w:val="en-US"/>
          <w14:textFill>
            <w14:solidFill>
              <w14:srgbClr w14:val="0070C0"/>
            </w14:solidFill>
          </w14:textFill>
        </w:rPr>
        <w:t>)</w:t>
      </w:r>
    </w:p>
    <w:p>
      <w:pPr>
        <w:pStyle w:val="paragraph"/>
        <w:spacing w:before="0" w:after="0"/>
        <w:rPr>
          <w:rFonts w:ascii="Calibri" w:cs="Calibri" w:hAnsi="Calibri" w:eastAsia="Calibri"/>
          <w:b w:val="1"/>
          <w:bCs w:val="1"/>
        </w:rPr>
      </w:pPr>
    </w:p>
    <w:p>
      <w:pPr>
        <w:pStyle w:val="paragraph"/>
        <w:spacing w:before="0" w:after="0"/>
        <w:rPr>
          <w:rFonts w:ascii="Calibri" w:cs="Calibri" w:hAnsi="Calibri" w:eastAsia="Calibri"/>
          <w:b w:val="1"/>
          <w:bCs w:val="1"/>
        </w:rPr>
      </w:pPr>
      <w:r>
        <w:rPr>
          <w:rFonts w:ascii="Calibri" w:hAnsi="Calibri" w:hint="default"/>
          <w:b w:val="1"/>
          <w:bCs w:val="1"/>
          <w:rtl w:val="0"/>
          <w:lang w:val="en-US"/>
        </w:rPr>
        <w:t>“</w:t>
      </w:r>
      <w:r>
        <w:rPr>
          <w:rFonts w:ascii="Calibri" w:hAnsi="Calibri"/>
          <w:b w:val="1"/>
          <w:bCs w:val="1"/>
          <w:rtl w:val="0"/>
          <w:lang w:val="en-US"/>
        </w:rPr>
        <w:t>Service Above Self</w:t>
      </w:r>
      <w:r>
        <w:rPr>
          <w:rFonts w:ascii="Calibri" w:hAnsi="Calibri" w:hint="default"/>
          <w:b w:val="1"/>
          <w:bCs w:val="1"/>
          <w:rtl w:val="0"/>
          <w:lang w:val="en-US"/>
        </w:rPr>
        <w:t xml:space="preserve">” </w:t>
      </w:r>
    </w:p>
    <w:p>
      <w:pPr>
        <w:pStyle w:val="paragraph"/>
        <w:spacing w:before="0" w:after="0"/>
        <w:rPr>
          <w:rFonts w:ascii="Calibri" w:cs="Calibri" w:hAnsi="Calibri" w:eastAsia="Calibri"/>
          <w:b w:val="1"/>
          <w:bCs w:val="1"/>
        </w:rPr>
      </w:pPr>
    </w:p>
    <w:p>
      <w:pPr>
        <w:pStyle w:val="paragraph"/>
        <w:spacing w:before="0" w:after="0"/>
        <w:rPr>
          <w:rFonts w:ascii="Calibri" w:cs="Calibri" w:hAnsi="Calibri" w:eastAsia="Calibri"/>
        </w:rPr>
      </w:pPr>
      <w:r>
        <w:rPr>
          <w:rFonts w:ascii="Calibri" w:hAnsi="Calibri"/>
          <w:b w:val="1"/>
          <w:bCs w:val="1"/>
          <w:rtl w:val="0"/>
          <w:lang w:val="en-US"/>
        </w:rPr>
        <w:t>Transparency</w:t>
      </w:r>
      <w:r>
        <w:rPr>
          <w:rFonts w:ascii="Calibri" w:hAnsi="Calibri" w:hint="default"/>
          <w:rtl w:val="0"/>
          <w:lang w:val="en-US"/>
        </w:rPr>
        <w:t xml:space="preserve"> – </w:t>
      </w:r>
      <w:r>
        <w:rPr>
          <w:rFonts w:ascii="Calibri" w:hAnsi="Calibri"/>
          <w:rtl w:val="0"/>
          <w:lang w:val="en-US"/>
        </w:rPr>
        <w:t>we are clear and open about our granting criteria, processes, decisions, activities, and results.</w:t>
      </w:r>
    </w:p>
    <w:p>
      <w:pPr>
        <w:pStyle w:val="paragraph"/>
        <w:spacing w:before="0" w:after="0"/>
        <w:rPr>
          <w:rFonts w:ascii="Calibri" w:cs="Calibri" w:hAnsi="Calibri" w:eastAsia="Calibri"/>
          <w:b w:val="1"/>
          <w:bCs w:val="1"/>
        </w:rPr>
      </w:pPr>
    </w:p>
    <w:p>
      <w:pPr>
        <w:pStyle w:val="paragraph"/>
        <w:spacing w:before="0" w:after="0"/>
        <w:rPr>
          <w:rFonts w:ascii="Calibri" w:cs="Calibri" w:hAnsi="Calibri" w:eastAsia="Calibri"/>
        </w:rPr>
      </w:pPr>
      <w:r>
        <w:rPr>
          <w:rFonts w:ascii="Calibri" w:hAnsi="Calibri"/>
          <w:b w:val="1"/>
          <w:bCs w:val="1"/>
          <w:rtl w:val="0"/>
          <w:lang w:val="en-US"/>
        </w:rPr>
        <w:t>Integrity</w:t>
      </w:r>
      <w:r>
        <w:rPr>
          <w:rFonts w:ascii="Calibri" w:hAnsi="Calibri" w:hint="default"/>
          <w:rtl w:val="0"/>
          <w:lang w:val="en-US"/>
        </w:rPr>
        <w:t xml:space="preserve"> – </w:t>
      </w:r>
      <w:r>
        <w:rPr>
          <w:rFonts w:ascii="Calibri" w:hAnsi="Calibri"/>
          <w:rtl w:val="0"/>
          <w:lang w:val="en-US"/>
        </w:rPr>
        <w:t>we make decisions based on consistent, established criteria, avoid conflicts of interest and bias, and adhere to the Investment Strategy.</w:t>
      </w:r>
    </w:p>
    <w:p>
      <w:pPr>
        <w:pStyle w:val="paragraph"/>
        <w:spacing w:before="0" w:after="0"/>
        <w:rPr>
          <w:rFonts w:ascii="Calibri" w:cs="Calibri" w:hAnsi="Calibri" w:eastAsia="Calibri"/>
          <w:b w:val="1"/>
          <w:bCs w:val="1"/>
        </w:rPr>
      </w:pPr>
    </w:p>
    <w:p>
      <w:pPr>
        <w:pStyle w:val="paragraph"/>
        <w:spacing w:before="0" w:after="0"/>
        <w:rPr>
          <w:rFonts w:ascii="Aptos" w:cs="Aptos" w:hAnsi="Aptos" w:eastAsia="Aptos"/>
        </w:rPr>
      </w:pPr>
      <w:r>
        <w:rPr>
          <w:rFonts w:ascii="Calibri" w:hAnsi="Calibri"/>
          <w:b w:val="1"/>
          <w:bCs w:val="1"/>
          <w:rtl w:val="0"/>
          <w:lang w:val="en-US"/>
        </w:rPr>
        <w:t>Alignment</w:t>
      </w:r>
      <w:r>
        <w:rPr>
          <w:rFonts w:ascii="Calibri" w:hAnsi="Calibri" w:hint="default"/>
          <w:rtl w:val="0"/>
          <w:lang w:val="en-US"/>
        </w:rPr>
        <w:t xml:space="preserve"> – </w:t>
      </w:r>
      <w:r>
        <w:rPr>
          <w:rFonts w:ascii="Calibri" w:hAnsi="Calibri"/>
          <w:rtl w:val="0"/>
          <w:lang w:val="en-US"/>
        </w:rPr>
        <w:t>we align our efforts among RCCD</w:t>
      </w:r>
      <w:r>
        <w:rPr>
          <w:rFonts w:ascii="Calibri" w:hAnsi="Calibri" w:hint="default"/>
          <w:rtl w:val="0"/>
          <w:lang w:val="en-US"/>
        </w:rPr>
        <w:t>’</w:t>
      </w:r>
      <w:r>
        <w:rPr>
          <w:rFonts w:ascii="Calibri" w:hAnsi="Calibri"/>
          <w:rtl w:val="0"/>
          <w:lang w:val="en-US"/>
        </w:rPr>
        <w:t>s investments and community service programs, and with the Club</w:t>
      </w:r>
      <w:r>
        <w:rPr>
          <w:rFonts w:ascii="Calibri" w:hAnsi="Calibri" w:hint="default"/>
          <w:rtl w:val="0"/>
          <w:lang w:val="en-US"/>
        </w:rPr>
        <w:t>’</w:t>
      </w:r>
      <w:r>
        <w:rPr>
          <w:rFonts w:ascii="Calibri" w:hAnsi="Calibri"/>
          <w:rtl w:val="0"/>
          <w:lang w:val="en-US"/>
        </w:rPr>
        <w:t>s long-range plan and other major community initiatives</w:t>
      </w:r>
      <w:r>
        <w:rPr>
          <w:rFonts w:ascii="Aptos" w:cs="Aptos" w:hAnsi="Aptos" w:eastAsia="Aptos"/>
          <w:rtl w:val="0"/>
          <w:lang w:val="en-US"/>
        </w:rPr>
        <w:t>.</w:t>
      </w:r>
    </w:p>
    <w:p>
      <w:pPr>
        <w:pStyle w:val="paragraph"/>
        <w:spacing w:before="0" w:after="0"/>
        <w:rPr>
          <w:rFonts w:ascii="Calibri" w:cs="Calibri" w:hAnsi="Calibri" w:eastAsia="Calibri"/>
          <w:b w:val="1"/>
          <w:bCs w:val="1"/>
        </w:rPr>
      </w:pPr>
    </w:p>
    <w:p>
      <w:pPr>
        <w:pStyle w:val="paragraph"/>
        <w:spacing w:before="0" w:after="0"/>
        <w:rPr>
          <w:rFonts w:ascii="Calibri" w:cs="Calibri" w:hAnsi="Calibri" w:eastAsia="Calibri"/>
        </w:rPr>
      </w:pPr>
      <w:r>
        <w:rPr>
          <w:rFonts w:ascii="Calibri" w:hAnsi="Calibri"/>
          <w:b w:val="1"/>
          <w:bCs w:val="1"/>
          <w:rtl w:val="0"/>
          <w:lang w:val="en-US"/>
        </w:rPr>
        <w:t>Collaboration</w:t>
      </w:r>
      <w:r>
        <w:rPr>
          <w:rFonts w:ascii="Calibri" w:hAnsi="Calibri"/>
          <w:rtl w:val="0"/>
          <w:lang w:val="en-US"/>
        </w:rPr>
        <w:t xml:space="preserve"> - we align and coordinate our work with other Rotary Clubs, funders and community partners and initiatives.</w:t>
      </w:r>
    </w:p>
    <w:p>
      <w:pPr>
        <w:pStyle w:val="paragraph"/>
        <w:spacing w:before="0" w:after="0"/>
        <w:rPr>
          <w:rFonts w:ascii="Calibri" w:cs="Calibri" w:hAnsi="Calibri" w:eastAsia="Calibri"/>
          <w:b w:val="1"/>
          <w:bCs w:val="1"/>
        </w:rPr>
      </w:pPr>
    </w:p>
    <w:p>
      <w:pPr>
        <w:pStyle w:val="paragraph"/>
        <w:spacing w:before="0" w:after="0"/>
        <w:rPr>
          <w:rFonts w:ascii="Calibri" w:cs="Calibri" w:hAnsi="Calibri" w:eastAsia="Calibri"/>
        </w:rPr>
      </w:pPr>
      <w:r>
        <w:rPr>
          <w:rFonts w:ascii="Calibri" w:hAnsi="Calibri"/>
          <w:b w:val="1"/>
          <w:bCs w:val="1"/>
          <w:rtl w:val="0"/>
          <w:lang w:val="en-US"/>
        </w:rPr>
        <w:t>Sustainability</w:t>
      </w:r>
      <w:r>
        <w:rPr>
          <w:rFonts w:ascii="Calibri" w:hAnsi="Calibri" w:hint="default"/>
          <w:rtl w:val="0"/>
          <w:lang w:val="en-US"/>
        </w:rPr>
        <w:t xml:space="preserve"> – </w:t>
      </w:r>
      <w:r>
        <w:rPr>
          <w:rFonts w:ascii="Calibri" w:hAnsi="Calibri"/>
          <w:rtl w:val="0"/>
          <w:lang w:val="en-US"/>
        </w:rPr>
        <w:t>we aim to ensure the capacity exists to achieve the intended outcomes and longer-term goals of the initiatives we fund.</w:t>
      </w:r>
    </w:p>
    <w:p>
      <w:pPr>
        <w:pStyle w:val="paragraph"/>
        <w:spacing w:before="0" w:after="0"/>
        <w:rPr>
          <w:rFonts w:ascii="Calibri" w:cs="Calibri" w:hAnsi="Calibri" w:eastAsia="Calibri"/>
          <w:b w:val="1"/>
          <w:bCs w:val="1"/>
        </w:rPr>
      </w:pPr>
    </w:p>
    <w:p>
      <w:pPr>
        <w:pStyle w:val="paragraph"/>
        <w:spacing w:before="0" w:after="0"/>
        <w:rPr>
          <w:rFonts w:ascii="Calibri" w:cs="Calibri" w:hAnsi="Calibri" w:eastAsia="Calibri"/>
          <w:b w:val="1"/>
          <w:bCs w:val="1"/>
        </w:rPr>
      </w:pPr>
      <w:r>
        <w:rPr>
          <w:rFonts w:ascii="Calibri" w:hAnsi="Calibri"/>
          <w:b w:val="1"/>
          <w:bCs w:val="1"/>
          <w:rtl w:val="0"/>
          <w:lang w:val="en-US"/>
        </w:rPr>
        <w:t>Engagement</w:t>
      </w:r>
      <w:r>
        <w:rPr>
          <w:rFonts w:ascii="Calibri" w:hAnsi="Calibri" w:hint="default"/>
          <w:rtl w:val="0"/>
          <w:lang w:val="en-US"/>
        </w:rPr>
        <w:t xml:space="preserve"> – </w:t>
      </w:r>
      <w:r>
        <w:rPr>
          <w:rFonts w:ascii="Calibri" w:hAnsi="Calibri"/>
          <w:rtl w:val="0"/>
          <w:lang w:val="en-US"/>
        </w:rPr>
        <w:t>we are directly involved in community service, working together to contribute time, talent, and treasure and affect positive change.</w:t>
      </w:r>
    </w:p>
    <w:p>
      <w:pPr>
        <w:pStyle w:val="paragraph"/>
        <w:spacing w:before="0" w:after="0"/>
        <w:rPr>
          <w:rFonts w:ascii="Calibri" w:cs="Calibri" w:hAnsi="Calibri" w:eastAsia="Calibri"/>
          <w:b w:val="1"/>
          <w:bCs w:val="1"/>
        </w:rPr>
      </w:pPr>
    </w:p>
    <w:p>
      <w:pPr>
        <w:pStyle w:val="paragraph"/>
        <w:spacing w:before="0" w:after="0"/>
        <w:rPr>
          <w:rFonts w:ascii="Calibri" w:cs="Calibri" w:hAnsi="Calibri" w:eastAsia="Calibri"/>
        </w:rPr>
      </w:pPr>
      <w:r>
        <w:rPr>
          <w:rFonts w:ascii="Calibri" w:hAnsi="Calibri"/>
          <w:b w:val="1"/>
          <w:bCs w:val="1"/>
          <w:rtl w:val="0"/>
          <w:lang w:val="en-US"/>
        </w:rPr>
        <w:t>Reconciliation</w:t>
      </w:r>
      <w:r>
        <w:rPr>
          <w:rFonts w:ascii="Calibri" w:hAnsi="Calibri"/>
          <w:rtl w:val="0"/>
          <w:lang w:val="en-US"/>
        </w:rPr>
        <w:t xml:space="preserve"> - we are committed to establishing and maintaining respectful relationships between Indigenous and non-Indigenous peoples.</w:t>
      </w:r>
    </w:p>
    <w:p>
      <w:pPr>
        <w:pStyle w:val="paragraph"/>
        <w:spacing w:before="0" w:after="0"/>
        <w:rPr>
          <w:rFonts w:ascii="Calibri" w:cs="Calibri" w:hAnsi="Calibri" w:eastAsia="Calibri"/>
          <w:b w:val="1"/>
          <w:bCs w:val="1"/>
        </w:rPr>
      </w:pPr>
    </w:p>
    <w:p>
      <w:pPr>
        <w:pStyle w:val="paragraph"/>
        <w:spacing w:before="0" w:after="0"/>
        <w:rPr>
          <w:rFonts w:ascii="Calibri" w:cs="Calibri" w:hAnsi="Calibri" w:eastAsia="Calibri"/>
        </w:rPr>
      </w:pPr>
      <w:r>
        <w:rPr>
          <w:rFonts w:ascii="Calibri" w:hAnsi="Calibri"/>
          <w:b w:val="1"/>
          <w:bCs w:val="1"/>
          <w:rtl w:val="0"/>
          <w:lang w:val="en-US"/>
        </w:rPr>
        <w:t>Continuous learning and improvement</w:t>
      </w:r>
      <w:r>
        <w:rPr>
          <w:rFonts w:ascii="Calibri" w:hAnsi="Calibri" w:hint="default"/>
          <w:rtl w:val="0"/>
          <w:lang w:val="en-US"/>
        </w:rPr>
        <w:t xml:space="preserve"> – </w:t>
      </w:r>
      <w:r>
        <w:rPr>
          <w:rFonts w:ascii="Calibri" w:hAnsi="Calibri"/>
          <w:rtl w:val="0"/>
          <w:lang w:val="en-US"/>
        </w:rPr>
        <w:t>we learn about and implement best and promising practices in granting and community service.</w:t>
      </w:r>
    </w:p>
    <w:p>
      <w:pPr>
        <w:pStyle w:val="paragraph"/>
        <w:spacing w:before="0" w:after="0"/>
        <w:rPr>
          <w:rFonts w:ascii="Calibri" w:cs="Calibri" w:hAnsi="Calibri" w:eastAsia="Calibri"/>
          <w:b w:val="1"/>
          <w:bCs w:val="1"/>
        </w:rPr>
      </w:pPr>
    </w:p>
    <w:p>
      <w:pPr>
        <w:pStyle w:val="paragraph"/>
        <w:spacing w:before="0" w:after="0"/>
        <w:rPr>
          <w:rFonts w:ascii="Calibri" w:cs="Calibri" w:hAnsi="Calibri" w:eastAsia="Calibri"/>
        </w:rPr>
      </w:pPr>
      <w:r>
        <w:rPr>
          <w:rFonts w:ascii="Calibri" w:hAnsi="Calibri"/>
          <w:b w:val="1"/>
          <w:bCs w:val="1"/>
          <w:rtl w:val="0"/>
          <w:lang w:val="en-US"/>
        </w:rPr>
        <w:t>Accountability</w:t>
      </w:r>
      <w:r>
        <w:rPr>
          <w:rFonts w:ascii="Calibri" w:hAnsi="Calibri" w:hint="default"/>
          <w:rtl w:val="0"/>
          <w:lang w:val="en-US"/>
        </w:rPr>
        <w:t xml:space="preserve"> – </w:t>
      </w:r>
      <w:r>
        <w:rPr>
          <w:rFonts w:ascii="Calibri" w:hAnsi="Calibri"/>
          <w:rtl w:val="0"/>
          <w:lang w:val="en-US"/>
        </w:rPr>
        <w:t>we responsibly carry out the intentions of our donors, the duties of agreements into which we enter, and our responsibilities to the community.</w:t>
      </w:r>
    </w:p>
    <w:p>
      <w:pPr>
        <w:pStyle w:val="paragraph"/>
        <w:spacing w:before="0" w:after="0"/>
        <w:rPr>
          <w:rFonts w:ascii="Calibri" w:cs="Calibri" w:hAnsi="Calibri" w:eastAsia="Calibri"/>
          <w:b w:val="1"/>
          <w:bCs w:val="1"/>
        </w:rPr>
      </w:pPr>
    </w:p>
    <w:p>
      <w:pPr>
        <w:pStyle w:val="paragraph"/>
        <w:spacing w:before="0" w:after="0"/>
        <w:rPr>
          <w:rFonts w:ascii="Calibri" w:cs="Calibri" w:hAnsi="Calibri" w:eastAsia="Calibri"/>
        </w:rPr>
      </w:pPr>
      <w:r>
        <w:rPr>
          <w:rFonts w:ascii="Calibri" w:hAnsi="Calibri"/>
          <w:b w:val="1"/>
          <w:bCs w:val="1"/>
          <w:rtl w:val="0"/>
          <w:lang w:val="en-US"/>
        </w:rPr>
        <w:t xml:space="preserve">Impact </w:t>
      </w:r>
      <w:r>
        <w:rPr>
          <w:rFonts w:ascii="Calibri" w:hAnsi="Calibri" w:hint="default"/>
          <w:b w:val="1"/>
          <w:bCs w:val="1"/>
          <w:rtl w:val="0"/>
          <w:lang w:val="en-US"/>
        </w:rPr>
        <w:t xml:space="preserve">– </w:t>
      </w:r>
      <w:r>
        <w:rPr>
          <w:rFonts w:ascii="Calibri" w:hAnsi="Calibri"/>
          <w:rtl w:val="0"/>
          <w:lang w:val="en-US"/>
        </w:rPr>
        <w:t>we seek to have positive impact both for Club members (to attract new members, engage existing members, and respond to members</w:t>
      </w:r>
      <w:r>
        <w:rPr>
          <w:rFonts w:ascii="Calibri" w:hAnsi="Calibri" w:hint="default"/>
          <w:rtl w:val="0"/>
          <w:lang w:val="en-US"/>
        </w:rPr>
        <w:t xml:space="preserve">’ </w:t>
      </w:r>
      <w:r>
        <w:rPr>
          <w:rFonts w:ascii="Calibri" w:hAnsi="Calibri"/>
          <w:rtl w:val="0"/>
          <w:lang w:val="en-US"/>
        </w:rPr>
        <w:t xml:space="preserve">interests and preferences) and for the community (to address community needs, support effective initiatives, and help </w:t>
      </w:r>
      <w:r>
        <w:rPr>
          <w:rFonts w:ascii="Calibri" w:hAnsi="Calibri" w:hint="default"/>
          <w:rtl w:val="0"/>
          <w:lang w:val="en-US"/>
        </w:rPr>
        <w:t>“</w:t>
      </w:r>
      <w:r>
        <w:rPr>
          <w:rFonts w:ascii="Calibri" w:hAnsi="Calibri"/>
          <w:rtl w:val="0"/>
          <w:lang w:val="en-US"/>
        </w:rPr>
        <w:t>move the needle</w:t>
      </w:r>
      <w:r>
        <w:rPr>
          <w:rFonts w:ascii="Calibri" w:hAnsi="Calibri" w:hint="default"/>
          <w:rtl w:val="0"/>
          <w:lang w:val="en-US"/>
        </w:rPr>
        <w:t xml:space="preserve">” </w:t>
      </w:r>
      <w:r>
        <w:rPr>
          <w:rFonts w:ascii="Calibri" w:hAnsi="Calibri"/>
          <w:rtl w:val="0"/>
          <w:lang w:val="en-US"/>
        </w:rPr>
        <w:t xml:space="preserve">on important community issues). </w:t>
      </w:r>
    </w:p>
    <w:p>
      <w:pPr>
        <w:pStyle w:val="Body A"/>
      </w:pPr>
    </w:p>
    <w:p>
      <w:pPr>
        <w:pStyle w:val="Heading"/>
        <w:spacing w:line="240" w:lineRule="auto"/>
        <w:rPr>
          <w:rFonts w:ascii="Calibri" w:cs="Calibri" w:hAnsi="Calibri" w:eastAsia="Calibri"/>
          <w:b w:val="1"/>
          <w:bCs w:val="1"/>
          <w:outline w:val="0"/>
          <w:color w:val="0070c0"/>
          <w:u w:color="0070c0"/>
          <w14:textFill>
            <w14:solidFill>
              <w14:srgbClr w14:val="0070C0"/>
            </w14:solidFill>
          </w14:textFill>
        </w:rPr>
      </w:pPr>
      <w:r>
        <w:rPr>
          <w:rFonts w:ascii="Calibri" w:hAnsi="Calibri"/>
          <w:b w:val="1"/>
          <w:bCs w:val="1"/>
          <w:outline w:val="0"/>
          <w:color w:val="0070c0"/>
          <w:u w:color="0070c0"/>
          <w:rtl w:val="0"/>
          <w:lang w:val="en-US"/>
          <w14:textFill>
            <w14:solidFill>
              <w14:srgbClr w14:val="0070C0"/>
            </w14:solidFill>
          </w14:textFill>
        </w:rPr>
        <w:t>How do we help?</w:t>
      </w:r>
    </w:p>
    <w:p>
      <w:pPr>
        <w:pStyle w:val="Heading 2"/>
        <w:spacing w:line="240" w:lineRule="auto"/>
        <w:rPr>
          <w:rFonts w:ascii="Calibri" w:cs="Calibri" w:hAnsi="Calibri" w:eastAsia="Calibri"/>
          <w:outline w:val="0"/>
          <w:color w:val="0070c0"/>
          <w:u w:color="0070c0"/>
          <w14:textFill>
            <w14:solidFill>
              <w14:srgbClr w14:val="0070C0"/>
            </w14:solidFill>
          </w14:textFill>
        </w:rPr>
      </w:pPr>
      <w:r>
        <w:rPr>
          <w:rFonts w:ascii="Calibri" w:hAnsi="Calibri"/>
          <w:b w:val="1"/>
          <w:bCs w:val="1"/>
          <w:i w:val="1"/>
          <w:iCs w:val="1"/>
          <w:outline w:val="0"/>
          <w:color w:val="0070c0"/>
          <w:u w:color="0070c0"/>
          <w:rtl w:val="0"/>
          <w:lang w:val="en-US"/>
          <w14:textFill>
            <w14:solidFill>
              <w14:srgbClr w14:val="0070C0"/>
            </w14:solidFill>
          </w14:textFill>
        </w:rPr>
        <w:t>(Our local discretionary granting programs and activities)</w:t>
      </w:r>
    </w:p>
    <w:p>
      <w:pPr>
        <w:pStyle w:val="paragraph"/>
        <w:keepNext w:val="1"/>
        <w:keepLines w:val="1"/>
        <w:spacing w:before="0" w:after="0"/>
        <w:rPr>
          <w:rFonts w:ascii="Segoe UI" w:cs="Segoe UI" w:hAnsi="Segoe UI" w:eastAsia="Segoe UI"/>
        </w:rPr>
      </w:pPr>
    </w:p>
    <w:p>
      <w:pPr>
        <w:pStyle w:val="paragraph"/>
        <w:keepNext w:val="1"/>
        <w:keepLines w:val="1"/>
        <w:spacing w:before="0" w:after="0"/>
        <w:rPr>
          <w:rFonts w:ascii="Aptos" w:cs="Aptos" w:hAnsi="Aptos" w:eastAsia="Aptos"/>
        </w:rPr>
      </w:pPr>
      <w:r>
        <w:rPr>
          <w:rFonts w:ascii="Aptos" w:cs="Aptos" w:hAnsi="Aptos" w:eastAsia="Aptos"/>
          <w:rtl w:val="0"/>
          <w:lang w:val="en-US"/>
        </w:rPr>
        <w:t xml:space="preserve">From 2024-2026, RCCD </w:t>
      </w:r>
      <w:r>
        <w:rPr>
          <w:rFonts w:ascii="Aptos" w:cs="Aptos" w:hAnsi="Aptos" w:eastAsia="Aptos"/>
          <w:b w:val="1"/>
          <w:bCs w:val="1"/>
          <w:i w:val="1"/>
          <w:iCs w:val="1"/>
          <w:rtl w:val="0"/>
          <w:lang w:val="en-US"/>
        </w:rPr>
        <w:t>carries out</w:t>
      </w:r>
      <w:r>
        <w:rPr>
          <w:rFonts w:ascii="Aptos" w:cs="Aptos" w:hAnsi="Aptos" w:eastAsia="Aptos"/>
          <w:rtl w:val="0"/>
          <w:lang w:val="en-US"/>
        </w:rPr>
        <w:t xml:space="preserve"> its </w:t>
      </w:r>
      <w:r>
        <w:rPr>
          <w:rFonts w:ascii="Aptos" w:cs="Aptos" w:hAnsi="Aptos" w:eastAsia="Aptos"/>
          <w:b w:val="1"/>
          <w:bCs w:val="1"/>
          <w:i w:val="1"/>
          <w:iCs w:val="1"/>
          <w:rtl w:val="0"/>
          <w:lang w:val="en-US"/>
        </w:rPr>
        <w:t>local discretionary granting role</w:t>
      </w:r>
      <w:r>
        <w:rPr>
          <w:rFonts w:ascii="Aptos" w:cs="Aptos" w:hAnsi="Aptos" w:eastAsia="Aptos"/>
          <w:b w:val="1"/>
          <w:bCs w:val="1"/>
          <w:rtl w:val="0"/>
          <w:lang w:val="en-US"/>
        </w:rPr>
        <w:t xml:space="preserve"> </w:t>
      </w:r>
      <w:r>
        <w:rPr>
          <w:rFonts w:ascii="Aptos" w:cs="Aptos" w:hAnsi="Aptos" w:eastAsia="Aptos"/>
          <w:rtl w:val="0"/>
          <w:lang w:val="en-US"/>
        </w:rPr>
        <w:t xml:space="preserve">for each of its priorities through the following </w:t>
      </w:r>
      <w:r>
        <w:rPr>
          <w:rFonts w:ascii="Aptos" w:cs="Aptos" w:hAnsi="Aptos" w:eastAsia="Aptos"/>
          <w:b w:val="1"/>
          <w:bCs w:val="1"/>
          <w:i w:val="1"/>
          <w:iCs w:val="1"/>
          <w:rtl w:val="0"/>
          <w:lang w:val="en-US"/>
        </w:rPr>
        <w:t>granting programs</w:t>
      </w:r>
      <w:r>
        <w:rPr>
          <w:rFonts w:ascii="Aptos" w:cs="Aptos" w:hAnsi="Aptos" w:eastAsia="Aptos"/>
          <w:rtl w:val="0"/>
          <w:lang w:val="en-US"/>
        </w:rPr>
        <w:t>:</w:t>
      </w:r>
    </w:p>
    <w:p>
      <w:pPr>
        <w:pStyle w:val="paragraph"/>
        <w:numPr>
          <w:ilvl w:val="0"/>
          <w:numId w:val="6"/>
        </w:numPr>
        <w:bidi w:val="0"/>
        <w:spacing w:before="0" w:after="0"/>
        <w:ind w:right="0"/>
        <w:jc w:val="left"/>
        <w:rPr>
          <w:rFonts w:ascii="Aptos" w:cs="Aptos" w:hAnsi="Aptos" w:eastAsia="Aptos"/>
          <w:rtl w:val="0"/>
          <w:lang w:val="en-US"/>
        </w:rPr>
      </w:pPr>
      <w:r>
        <w:rPr>
          <w:rFonts w:ascii="Aptos" w:cs="Aptos" w:hAnsi="Aptos" w:eastAsia="Aptos"/>
          <w:rtl w:val="0"/>
          <w:lang w:val="en-US"/>
        </w:rPr>
        <w:t>Small Donations</w:t>
      </w:r>
    </w:p>
    <w:p>
      <w:pPr>
        <w:pStyle w:val="paragraph"/>
        <w:numPr>
          <w:ilvl w:val="0"/>
          <w:numId w:val="6"/>
        </w:numPr>
        <w:bidi w:val="0"/>
        <w:spacing w:before="0" w:after="0"/>
        <w:ind w:right="0"/>
        <w:jc w:val="left"/>
        <w:rPr>
          <w:rFonts w:ascii="Aptos" w:cs="Aptos" w:hAnsi="Aptos" w:eastAsia="Aptos"/>
          <w:rtl w:val="0"/>
          <w:lang w:val="en-US"/>
        </w:rPr>
      </w:pPr>
      <w:r>
        <w:rPr>
          <w:rFonts w:ascii="Aptos" w:cs="Aptos" w:hAnsi="Aptos" w:eastAsia="Aptos"/>
          <w:rtl w:val="0"/>
          <w:lang w:val="en-US"/>
        </w:rPr>
        <w:t>Major Donations</w:t>
      </w:r>
    </w:p>
    <w:p>
      <w:pPr>
        <w:pStyle w:val="paragraph"/>
        <w:numPr>
          <w:ilvl w:val="0"/>
          <w:numId w:val="6"/>
        </w:numPr>
        <w:bidi w:val="0"/>
        <w:spacing w:before="0" w:after="0"/>
        <w:ind w:right="0"/>
        <w:jc w:val="left"/>
        <w:rPr>
          <w:rFonts w:ascii="Aptos" w:cs="Aptos" w:hAnsi="Aptos" w:eastAsia="Aptos"/>
          <w:rtl w:val="0"/>
          <w:lang w:val="en-US"/>
        </w:rPr>
      </w:pPr>
      <w:r>
        <w:rPr>
          <w:rFonts w:ascii="Aptos" w:cs="Aptos" w:hAnsi="Aptos" w:eastAsia="Aptos"/>
          <w:rtl w:val="0"/>
          <w:lang w:val="en-US"/>
        </w:rPr>
        <w:t>Legacy Donations</w:t>
      </w:r>
    </w:p>
    <w:p>
      <w:pPr>
        <w:pStyle w:val="paragraph"/>
        <w:numPr>
          <w:ilvl w:val="0"/>
          <w:numId w:val="6"/>
        </w:numPr>
        <w:bidi w:val="0"/>
        <w:spacing w:before="0" w:after="0"/>
        <w:ind w:right="0"/>
        <w:jc w:val="left"/>
        <w:rPr>
          <w:rFonts w:ascii="Aptos" w:cs="Aptos" w:hAnsi="Aptos" w:eastAsia="Aptos"/>
          <w:rtl w:val="0"/>
          <w:lang w:val="en-US"/>
        </w:rPr>
      </w:pPr>
      <w:r>
        <w:rPr>
          <w:rFonts w:ascii="Aptos" w:cs="Aptos" w:hAnsi="Aptos" w:eastAsia="Aptos"/>
          <w:rtl w:val="0"/>
          <w:lang w:val="en-US"/>
        </w:rPr>
        <w:t>Early Childhood Literacy Donations</w:t>
      </w:r>
    </w:p>
    <w:p>
      <w:pPr>
        <w:pStyle w:val="paragraph"/>
        <w:spacing w:before="0" w:after="0"/>
        <w:rPr>
          <w:rFonts w:ascii="Aptos" w:cs="Aptos" w:hAnsi="Aptos" w:eastAsia="Aptos"/>
        </w:rPr>
      </w:pPr>
    </w:p>
    <w:p>
      <w:pPr>
        <w:pStyle w:val="paragraph"/>
        <w:spacing w:before="0" w:after="0"/>
        <w:rPr>
          <w:rFonts w:ascii="Aptos" w:cs="Aptos" w:hAnsi="Aptos" w:eastAsia="Aptos"/>
        </w:rPr>
      </w:pPr>
      <w:r>
        <w:rPr>
          <w:rFonts w:ascii="Aptos" w:cs="Aptos" w:hAnsi="Aptos" w:eastAsia="Aptos"/>
          <w:rtl w:val="0"/>
          <w:lang w:val="en-US"/>
        </w:rPr>
        <w:t xml:space="preserve">From 2024-2026, RCCD </w:t>
      </w:r>
      <w:r>
        <w:rPr>
          <w:rFonts w:ascii="Aptos" w:cs="Aptos" w:hAnsi="Aptos" w:eastAsia="Aptos"/>
          <w:b w:val="1"/>
          <w:bCs w:val="1"/>
          <w:i w:val="1"/>
          <w:iCs w:val="1"/>
          <w:rtl w:val="0"/>
          <w:lang w:val="en-US"/>
        </w:rPr>
        <w:t xml:space="preserve">supports </w:t>
      </w:r>
      <w:r>
        <w:rPr>
          <w:rFonts w:ascii="Aptos" w:cs="Aptos" w:hAnsi="Aptos" w:eastAsia="Aptos"/>
          <w:rtl w:val="0"/>
          <w:lang w:val="en-US"/>
        </w:rPr>
        <w:t xml:space="preserve">its </w:t>
      </w:r>
      <w:r>
        <w:rPr>
          <w:rFonts w:ascii="Aptos" w:cs="Aptos" w:hAnsi="Aptos" w:eastAsia="Aptos"/>
          <w:b w:val="1"/>
          <w:bCs w:val="1"/>
          <w:i w:val="1"/>
          <w:iCs w:val="1"/>
          <w:rtl w:val="0"/>
          <w:lang w:val="en-US"/>
        </w:rPr>
        <w:t>local discretionary granting role</w:t>
      </w:r>
      <w:r>
        <w:rPr>
          <w:rFonts w:ascii="Aptos" w:cs="Aptos" w:hAnsi="Aptos" w:eastAsia="Aptos"/>
          <w:rtl w:val="0"/>
          <w:lang w:val="en-US"/>
        </w:rPr>
        <w:t xml:space="preserve"> by carrying out appropriate</w:t>
      </w:r>
      <w:r>
        <w:rPr>
          <w:rFonts w:ascii="Aptos" w:cs="Aptos" w:hAnsi="Aptos" w:eastAsia="Aptos"/>
          <w:b w:val="1"/>
          <w:bCs w:val="1"/>
          <w:i w:val="1"/>
          <w:iCs w:val="1"/>
          <w:rtl w:val="0"/>
          <w:lang w:val="en-US"/>
        </w:rPr>
        <w:t xml:space="preserve"> activities that fulfill its other roles (described above) </w:t>
      </w:r>
      <w:r>
        <w:rPr>
          <w:rFonts w:ascii="Aptos" w:cs="Aptos" w:hAnsi="Aptos" w:eastAsia="Aptos"/>
          <w:rtl w:val="0"/>
          <w:lang w:val="en-US"/>
        </w:rPr>
        <w:t>for each of its priorities:</w:t>
      </w:r>
    </w:p>
    <w:p>
      <w:pPr>
        <w:pStyle w:val="paragraph"/>
        <w:numPr>
          <w:ilvl w:val="0"/>
          <w:numId w:val="8"/>
        </w:numPr>
        <w:bidi w:val="0"/>
        <w:spacing w:before="0" w:after="0"/>
        <w:ind w:right="0"/>
        <w:jc w:val="left"/>
        <w:rPr>
          <w:rFonts w:ascii="Aptos" w:cs="Aptos" w:hAnsi="Aptos" w:eastAsia="Aptos"/>
          <w:rtl w:val="0"/>
          <w:lang w:val="en-US"/>
        </w:rPr>
      </w:pPr>
      <w:r>
        <w:rPr>
          <w:rFonts w:ascii="Aptos" w:cs="Aptos" w:hAnsi="Aptos" w:eastAsia="Aptos"/>
          <w:rtl w:val="0"/>
          <w:lang w:val="en-US"/>
        </w:rPr>
        <w:t>Convening</w:t>
      </w:r>
    </w:p>
    <w:p>
      <w:pPr>
        <w:pStyle w:val="paragraph"/>
        <w:numPr>
          <w:ilvl w:val="0"/>
          <w:numId w:val="8"/>
        </w:numPr>
        <w:bidi w:val="0"/>
        <w:spacing w:before="0" w:after="0"/>
        <w:ind w:right="0"/>
        <w:jc w:val="left"/>
        <w:rPr>
          <w:rFonts w:ascii="Aptos" w:cs="Aptos" w:hAnsi="Aptos" w:eastAsia="Aptos"/>
          <w:rtl w:val="0"/>
          <w:lang w:val="en-US"/>
        </w:rPr>
      </w:pPr>
      <w:r>
        <w:rPr>
          <w:rFonts w:ascii="Aptos" w:cs="Aptos" w:hAnsi="Aptos" w:eastAsia="Aptos"/>
          <w:rtl w:val="0"/>
          <w:lang w:val="en-US"/>
        </w:rPr>
        <w:t>Learning</w:t>
      </w:r>
    </w:p>
    <w:p>
      <w:pPr>
        <w:pStyle w:val="paragraph"/>
        <w:numPr>
          <w:ilvl w:val="0"/>
          <w:numId w:val="8"/>
        </w:numPr>
        <w:bidi w:val="0"/>
        <w:spacing w:before="0" w:after="0"/>
        <w:ind w:right="0"/>
        <w:jc w:val="left"/>
        <w:rPr>
          <w:rFonts w:ascii="Aptos" w:cs="Aptos" w:hAnsi="Aptos" w:eastAsia="Aptos"/>
          <w:rtl w:val="0"/>
          <w:lang w:val="en-US"/>
        </w:rPr>
      </w:pPr>
      <w:r>
        <w:rPr>
          <w:rFonts w:ascii="Aptos" w:cs="Aptos" w:hAnsi="Aptos" w:eastAsia="Aptos"/>
          <w:rtl w:val="0"/>
          <w:lang w:val="en-US"/>
        </w:rPr>
        <w:t xml:space="preserve">Club member engagement </w:t>
      </w:r>
    </w:p>
    <w:p>
      <w:pPr>
        <w:pStyle w:val="paragraph"/>
        <w:numPr>
          <w:ilvl w:val="0"/>
          <w:numId w:val="8"/>
        </w:numPr>
        <w:bidi w:val="0"/>
        <w:spacing w:before="0" w:after="0"/>
        <w:ind w:right="0"/>
        <w:jc w:val="left"/>
        <w:rPr>
          <w:rFonts w:ascii="Aptos" w:cs="Aptos" w:hAnsi="Aptos" w:eastAsia="Aptos"/>
          <w:rtl w:val="0"/>
          <w:lang w:val="en-US"/>
        </w:rPr>
      </w:pPr>
      <w:r>
        <w:rPr>
          <w:rFonts w:ascii="Aptos" w:cs="Aptos" w:hAnsi="Aptos" w:eastAsia="Aptos"/>
          <w:rtl w:val="0"/>
          <w:lang w:val="en-US"/>
        </w:rPr>
        <w:t xml:space="preserve">Fundraising </w:t>
      </w:r>
    </w:p>
    <w:p>
      <w:pPr>
        <w:pStyle w:val="Body A"/>
        <w:rPr>
          <w:sz w:val="24"/>
          <w:szCs w:val="24"/>
        </w:rPr>
      </w:pPr>
    </w:p>
    <w:p>
      <w:pPr>
        <w:pStyle w:val="Title"/>
      </w:pPr>
    </w:p>
    <w:p>
      <w:pPr>
        <w:pStyle w:val="Body A"/>
      </w:pPr>
    </w:p>
    <w:p>
      <w:pPr>
        <w:pStyle w:val="Body A"/>
      </w:pPr>
    </w:p>
    <w:p>
      <w:pPr>
        <w:pStyle w:val="Body A"/>
      </w:pPr>
    </w:p>
    <w:p>
      <w:pPr>
        <w:pStyle w:val="Title"/>
        <w:rPr>
          <w:sz w:val="32"/>
          <w:szCs w:val="32"/>
        </w:rPr>
      </w:pPr>
      <w:r>
        <w:rPr>
          <w:rtl w:val="0"/>
          <w:lang w:val="en-US"/>
        </w:rPr>
        <w:t xml:space="preserve">Local Discretionary Granting Strategic Directions: 2024-26 </w:t>
        <w:tab/>
        <w:tab/>
        <w:tab/>
        <w:tab/>
        <w:tab/>
        <w:t xml:space="preserve">                                                     </w:t>
      </w:r>
      <w:r>
        <w:rPr>
          <w:sz w:val="32"/>
          <w:szCs w:val="32"/>
          <w:rtl w:val="0"/>
          <w:lang w:val="en-US"/>
        </w:rPr>
        <w:t>Final approved document reflecting Board approved changes July 17 2024</w:t>
      </w:r>
    </w:p>
    <w:p>
      <w:pPr>
        <w:pStyle w:val="Body A"/>
        <w:rPr>
          <w:outline w:val="0"/>
          <w:color w:val="a6a6a6"/>
          <w:sz w:val="36"/>
          <w:szCs w:val="36"/>
          <w:u w:color="a6a6a6"/>
          <w14:textFill>
            <w14:solidFill>
              <w14:srgbClr w14:val="A6A6A6"/>
            </w14:solidFill>
          </w14:textFill>
        </w:rPr>
      </w:pPr>
    </w:p>
    <w:p>
      <w:pPr>
        <w:pStyle w:val="Body A"/>
        <w:rPr>
          <w:rFonts w:ascii="Calibri" w:cs="Calibri" w:hAnsi="Calibri" w:eastAsia="Calibri"/>
          <w:b w:val="1"/>
          <w:bCs w:val="1"/>
          <w:sz w:val="24"/>
          <w:szCs w:val="24"/>
        </w:rPr>
      </w:pPr>
      <w:r>
        <w:rPr>
          <w:rFonts w:ascii="Calibri" w:hAnsi="Calibri"/>
          <w:sz w:val="24"/>
          <w:szCs w:val="24"/>
          <w:rtl w:val="0"/>
          <w:lang w:val="en-US"/>
        </w:rPr>
        <w:t>*</w:t>
      </w:r>
      <w:r>
        <w:rPr>
          <w:rFonts w:ascii="Calibri" w:hAnsi="Calibri"/>
          <w:b w:val="1"/>
          <w:bCs w:val="1"/>
          <w:sz w:val="24"/>
          <w:szCs w:val="24"/>
          <w:rtl w:val="0"/>
          <w:lang w:val="en-US"/>
        </w:rPr>
        <w:t xml:space="preserve">This document is intended as a tool </w:t>
      </w:r>
      <w:r>
        <w:rPr>
          <w:rFonts w:ascii="Calibri" w:hAnsi="Calibri" w:hint="default"/>
          <w:b w:val="1"/>
          <w:bCs w:val="1"/>
          <w:sz w:val="24"/>
          <w:szCs w:val="24"/>
          <w:rtl w:val="0"/>
          <w:lang w:val="en-US"/>
        </w:rPr>
        <w:t xml:space="preserve">– </w:t>
      </w:r>
      <w:r>
        <w:rPr>
          <w:rFonts w:ascii="Calibri" w:hAnsi="Calibri"/>
          <w:b w:val="1"/>
          <w:bCs w:val="1"/>
          <w:sz w:val="24"/>
          <w:szCs w:val="24"/>
          <w:rtl w:val="0"/>
          <w:lang w:val="en-US"/>
        </w:rPr>
        <w:t xml:space="preserve">like a work plan - to assist the Club in implementing the Local Discretionary Granting Strategy. It should not be interpreted as policy, but rather as a working document that helps provide a framework for Local Discretionary Granting </w:t>
      </w:r>
      <w:r>
        <w:rPr>
          <w:rFonts w:ascii="Calibri" w:hAnsi="Calibri"/>
          <w:b w:val="1"/>
          <w:bCs w:val="1"/>
          <w:i w:val="1"/>
          <w:iCs w:val="1"/>
          <w:sz w:val="24"/>
          <w:szCs w:val="24"/>
          <w:rtl w:val="0"/>
          <w:lang w:val="it-IT"/>
        </w:rPr>
        <w:t>to 2026.</w:t>
      </w:r>
      <w:r>
        <w:rPr>
          <w:sz w:val="24"/>
          <w:szCs w:val="24"/>
          <w:rtl w:val="0"/>
          <w:lang w:val="en-US"/>
        </w:rPr>
        <w:t xml:space="preserve"> </w:t>
      </w:r>
      <w:r>
        <w:rPr>
          <w:rFonts w:ascii="Calibri" w:hAnsi="Calibri"/>
          <w:b w:val="1"/>
          <w:bCs w:val="1"/>
          <w:sz w:val="24"/>
          <w:szCs w:val="24"/>
          <w:rtl w:val="0"/>
          <w:lang w:val="en-US"/>
        </w:rPr>
        <w:t>The Granting Strategy Implementation Team would work with all impacted parties to build a more detailed work plan that assigns responsibilities, timelines and tasks.</w:t>
      </w:r>
    </w:p>
    <w:p>
      <w:pPr>
        <w:pStyle w:val="Body A"/>
        <w:rPr>
          <w:rFonts w:ascii="Calibri" w:cs="Calibri" w:hAnsi="Calibri" w:eastAsia="Calibri"/>
          <w:b w:val="1"/>
          <w:bCs w:val="1"/>
          <w:sz w:val="24"/>
          <w:szCs w:val="24"/>
        </w:rPr>
      </w:pPr>
      <w:r>
        <w:rPr>
          <w:rFonts w:ascii="Calibri" w:hAnsi="Calibri"/>
          <w:b w:val="1"/>
          <w:bCs w:val="1"/>
          <w:sz w:val="24"/>
          <w:szCs w:val="24"/>
          <w:rtl w:val="0"/>
          <w:lang w:val="en-US"/>
        </w:rPr>
        <w:t>**All recommended strategic directions outlined below should be interpreted with the primacy of the Board</w:t>
      </w:r>
      <w:r>
        <w:rPr>
          <w:rFonts w:ascii="Calibri" w:hAnsi="Calibri" w:hint="default"/>
          <w:b w:val="1"/>
          <w:bCs w:val="1"/>
          <w:sz w:val="24"/>
          <w:szCs w:val="24"/>
          <w:rtl w:val="0"/>
          <w:lang w:val="en-US"/>
        </w:rPr>
        <w:t>’</w:t>
      </w:r>
      <w:r>
        <w:rPr>
          <w:rFonts w:ascii="Calibri" w:hAnsi="Calibri"/>
          <w:b w:val="1"/>
          <w:bCs w:val="1"/>
          <w:sz w:val="24"/>
          <w:szCs w:val="24"/>
          <w:rtl w:val="0"/>
          <w:lang w:val="en-US"/>
        </w:rPr>
        <w:t xml:space="preserve">s decision-making role in mind. No committee or other body makes decisions independently. </w:t>
      </w:r>
    </w:p>
    <w:tbl>
      <w:tblPr>
        <w:tblW w:w="12626"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10158"/>
        <w:gridCol w:w="1101"/>
        <w:gridCol w:w="473"/>
        <w:gridCol w:w="466"/>
        <w:gridCol w:w="428"/>
      </w:tblGrid>
      <w:tr>
        <w:tblPrEx>
          <w:shd w:val="clear" w:color="auto" w:fill="cad1d7"/>
        </w:tblPrEx>
        <w:trPr>
          <w:trHeight w:val="418"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pPr>
            <w:r>
              <w:rPr>
                <w:rFonts w:ascii="Calibri" w:hAnsi="Calibri"/>
                <w:b w:val="1"/>
                <w:bCs w:val="1"/>
                <w:outline w:val="0"/>
                <w:color w:val="0070c0"/>
                <w:sz w:val="28"/>
                <w:szCs w:val="28"/>
                <w:u w:color="0070c0"/>
                <w:shd w:val="nil" w:color="auto" w:fill="auto"/>
                <w:rtl w:val="0"/>
                <w:lang w:val="en-US"/>
                <w14:textFill>
                  <w14:solidFill>
                    <w14:srgbClr w14:val="0070C0"/>
                  </w14:solidFill>
                </w14:textFill>
              </w:rPr>
              <w:t>Strategic Directions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pPr>
            <w:r>
              <w:rPr>
                <w:rFonts w:ascii="Calibri" w:hAnsi="Calibri"/>
                <w:b w:val="1"/>
                <w:bCs w:val="1"/>
                <w:outline w:val="0"/>
                <w:color w:val="0070c0"/>
                <w:sz w:val="16"/>
                <w:szCs w:val="16"/>
                <w:u w:color="0070c0"/>
                <w:shd w:val="nil" w:color="auto" w:fill="auto"/>
                <w:rtl w:val="0"/>
                <w:lang w:val="en-US"/>
                <w14:textFill>
                  <w14:solidFill>
                    <w14:srgbClr w14:val="0070C0"/>
                  </w14:solidFill>
                </w14:textFill>
              </w:rPr>
              <w:t>Responsibility</w:t>
            </w: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pPr>
            <w:r>
              <w:rPr>
                <w:rFonts w:ascii="Calibri" w:hAnsi="Calibri"/>
                <w:b w:val="1"/>
                <w:bCs w:val="1"/>
                <w:outline w:val="0"/>
                <w:color w:val="ff0000"/>
                <w:sz w:val="16"/>
                <w:szCs w:val="16"/>
                <w:u w:color="ff0000"/>
                <w:shd w:val="nil" w:color="auto" w:fill="auto"/>
                <w:rtl w:val="0"/>
                <w:lang w:val="en-US"/>
                <w14:textFill>
                  <w14:solidFill>
                    <w14:srgbClr w14:val="FF0000"/>
                  </w14:solidFill>
                </w14:textFill>
              </w:rPr>
              <w:t>Year 1</w:t>
            </w: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pPr>
            <w:r>
              <w:rPr>
                <w:rFonts w:ascii="Calibri" w:hAnsi="Calibri"/>
                <w:b w:val="1"/>
                <w:bCs w:val="1"/>
                <w:outline w:val="0"/>
                <w:color w:val="ff0000"/>
                <w:sz w:val="16"/>
                <w:szCs w:val="16"/>
                <w:u w:color="ff0000"/>
                <w:shd w:val="nil" w:color="auto" w:fill="auto"/>
                <w:rtl w:val="0"/>
                <w:lang w:val="en-US"/>
                <w14:textFill>
                  <w14:solidFill>
                    <w14:srgbClr w14:val="FF0000"/>
                  </w14:solidFill>
                </w14:textFill>
              </w:rPr>
              <w:t>Year 2</w:t>
            </w: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pPr>
            <w:r>
              <w:rPr>
                <w:rFonts w:ascii="Calibri" w:hAnsi="Calibri"/>
                <w:b w:val="1"/>
                <w:bCs w:val="1"/>
                <w:outline w:val="0"/>
                <w:color w:val="ff0000"/>
                <w:sz w:val="16"/>
                <w:szCs w:val="16"/>
                <w:u w:color="ff0000"/>
                <w:shd w:val="nil" w:color="auto" w:fill="auto"/>
                <w:rtl w:val="0"/>
                <w:lang w:val="en-US"/>
                <w14:textFill>
                  <w14:solidFill>
                    <w14:srgbClr w14:val="FF0000"/>
                  </w14:solidFill>
                </w14:textFill>
              </w:rPr>
              <w:t>Year 3</w:t>
            </w: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pPr>
            <w:r>
              <w:rPr>
                <w:rFonts w:ascii="Calibri" w:hAnsi="Calibri"/>
                <w:b w:val="1"/>
                <w:bCs w:val="1"/>
                <w:sz w:val="20"/>
                <w:szCs w:val="20"/>
                <w:shd w:val="nil" w:color="auto" w:fill="auto"/>
                <w:rtl w:val="0"/>
                <w:lang w:val="en-US"/>
              </w:rPr>
              <w:t>PRIORITIES/FOCUS AREAS: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64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1. Adopt the following areas of community need as RCCD</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 local discretionary g</w:t>
            </w:r>
            <w:r>
              <w:rPr>
                <w:sz w:val="24"/>
                <w:szCs w:val="24"/>
                <w:shd w:val="nil" w:color="auto" w:fill="auto"/>
                <w:rtl w:val="0"/>
                <w:lang w:val="en-US"/>
              </w:rPr>
              <w:t>ranting</w:t>
            </w:r>
            <w:r>
              <w:rPr>
                <w:rFonts w:ascii="Calibri" w:hAnsi="Calibri"/>
                <w:sz w:val="24"/>
                <w:szCs w:val="24"/>
                <w:shd w:val="nil" w:color="auto" w:fill="auto"/>
                <w:rtl w:val="0"/>
                <w:lang w:val="en-US"/>
              </w:rPr>
              <w:t xml:space="preserve"> priorities for 2024-2026: Early Childhood Literacy, Education, Food Security, Mental Wellness. </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705"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shd w:val="nil" w:color="auto" w:fill="auto"/>
              </w:rPr>
            </w:pPr>
            <w:r>
              <w:rPr>
                <w:rFonts w:ascii="Calibri" w:hAnsi="Calibri"/>
                <w:sz w:val="24"/>
                <w:szCs w:val="24"/>
                <w:shd w:val="nil" w:color="auto" w:fill="auto"/>
                <w:rtl w:val="0"/>
                <w:lang w:val="en-US"/>
              </w:rPr>
              <w:t>2. Support initiatives outside of the granting priorities and offer flexibility in the following ways: Small Donations grants; Major Donations and Legacy Donations grants that represent unique, timely, urgent, and/or collaborative opportunities for major impact; community service projects outside granting streams.</w:t>
            </w:r>
          </w:p>
          <w:p>
            <w:pPr>
              <w:pStyle w:val="Body A"/>
              <w:bidi w:val="0"/>
              <w:ind w:left="0" w:right="0" w:firstLine="0"/>
              <w:jc w:val="left"/>
              <w:rPr>
                <w:rtl w:val="0"/>
              </w:rPr>
            </w:pPr>
            <w:r>
              <w:rPr>
                <w:rFonts w:ascii="Calibri" w:hAnsi="Calibri"/>
                <w:sz w:val="24"/>
                <w:szCs w:val="24"/>
                <w:shd w:val="nil" w:color="auto" w:fill="auto"/>
                <w:rtl w:val="0"/>
                <w:lang w:val="en-US"/>
              </w:rPr>
              <w:t xml:space="preserve"> </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3. Undertake a Club consultation and review of current community needs assessments/surveys in 2025-26 to reaffirm existing local discretionary granting priorities and/or adopt new priorities.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92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 xml:space="preserve">4. Review local discretionary granting priorities every three years (i.e., one year ahead of when the current 3-year </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cycle</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expires), through a Club survey/consultation and review of current community needs assessments. Granting priorities are not to exceed four which is the number currently proposed.</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92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5. Ensure that the adoption of a new priority has the following Club capacity and support for that priority: finances/fundraising; Club champions and volunteers; availability of expertise; convening, education, and community service areas.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 xml:space="preserve">6. Ensure that the </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sunsetting</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of an existing priority follows a gradual and orderly process that honours existing agreements and past investments.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565"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7. Increase RCCD</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 xml:space="preserve">s impact in local discretionary granting priority areas by encouraging Club involvement in roles beyond granting, including convening, learning, club member engagement and fundraising. Examples of opportunities for member engagement in priorities include: champion, committee work, communications, fundraising, learning, philanthropy, vocational service, volunteer, advisory (see April 2024 Club Member survey for definitions of these opportunities).  </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333"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8. Decisions on funding will give preference to grants for projects related to children and young people, if the requests can be linked to enhancing the Club</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 impact through its approved priorities and Club Programs. Other populations will be considered based on the strength of the application.</w:t>
            </w:r>
            <w:r>
              <w:rPr>
                <w:rFonts w:ascii="Aptos" w:cs="Aptos" w:hAnsi="Aptos" w:eastAsia="Aptos"/>
                <w:sz w:val="24"/>
                <w:szCs w:val="24"/>
                <w:shd w:val="nil" w:color="auto" w:fill="auto"/>
                <w:rtl w:val="0"/>
                <w:lang w:val="en-US"/>
              </w:rPr>
              <w:t xml:space="preserve"> </w:t>
            </w:r>
            <w:r>
              <w:rPr>
                <w:rFonts w:ascii="Calibri" w:hAnsi="Calibri"/>
                <w:sz w:val="24"/>
                <w:szCs w:val="24"/>
                <w:shd w:val="nil" w:color="auto" w:fill="auto"/>
                <w:rtl w:val="0"/>
                <w:lang w:val="en-US"/>
              </w:rPr>
              <w:t>. This does NOT mean that all grants in the four priority areas are restricted to children and young people; rather, all things being equal, an application that addresses one of the four priority areas in relation to children and young people, would be given additional consideratio</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pPr>
            <w:r>
              <w:rPr>
                <w:rFonts w:ascii="Calibri" w:hAnsi="Calibri"/>
                <w:b w:val="1"/>
                <w:bCs w:val="1"/>
                <w:sz w:val="20"/>
                <w:szCs w:val="20"/>
                <w:shd w:val="nil" w:color="auto" w:fill="auto"/>
                <w:rtl w:val="0"/>
                <w:lang w:val="en-US"/>
              </w:rPr>
              <w:t>LOCAL DISCRETIONARY GRANTING COMMITTEES: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7638"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shd w:val="nil" w:color="auto" w:fill="auto"/>
              </w:rPr>
            </w:pPr>
            <w:r>
              <w:rPr>
                <w:rFonts w:ascii="Calibri" w:hAnsi="Calibri"/>
                <w:sz w:val="24"/>
                <w:szCs w:val="24"/>
                <w:shd w:val="nil" w:color="auto" w:fill="auto"/>
                <w:rtl w:val="0"/>
                <w:lang w:val="en-US"/>
              </w:rPr>
              <w:t xml:space="preserve">1. Assess and distribute local discretionary grants through the following committees: </w:t>
            </w:r>
          </w:p>
          <w:p>
            <w:pPr>
              <w:pStyle w:val="Body A"/>
              <w:bidi w:val="0"/>
              <w:ind w:left="0" w:right="0" w:firstLine="0"/>
              <w:jc w:val="left"/>
              <w:rPr>
                <w:rFonts w:ascii="Calibri" w:cs="Calibri" w:hAnsi="Calibri" w:eastAsia="Calibri"/>
                <w:sz w:val="24"/>
                <w:szCs w:val="24"/>
                <w:shd w:val="nil" w:color="auto" w:fill="auto"/>
                <w:rtl w:val="0"/>
              </w:rPr>
            </w:pPr>
            <w:r>
              <w:rPr>
                <w:rFonts w:ascii="Calibri" w:hAnsi="Calibri"/>
                <w:b w:val="1"/>
                <w:bCs w:val="1"/>
                <w:sz w:val="24"/>
                <w:szCs w:val="24"/>
                <w:shd w:val="nil" w:color="auto" w:fill="auto"/>
                <w:rtl w:val="0"/>
                <w:lang w:val="en-US"/>
              </w:rPr>
              <w:t>Small Donations Committee</w:t>
            </w:r>
            <w:r>
              <w:rPr>
                <w:rFonts w:ascii="Calibri" w:hAnsi="Calibri"/>
                <w:sz w:val="24"/>
                <w:szCs w:val="24"/>
                <w:shd w:val="nil" w:color="auto" w:fill="auto"/>
                <w:rtl w:val="0"/>
                <w:lang w:val="en-US"/>
              </w:rPr>
              <w:t xml:space="preserve"> - $10K and under; reactive grants for service and program delivery initiatives; continuous intake of applications, with decisions made quarterly; open to addressing both priority areas and issues outside of priority areas that are urgent, emerging, or supporting Club member interests.</w:t>
            </w:r>
          </w:p>
          <w:p>
            <w:pPr>
              <w:pStyle w:val="Body A"/>
              <w:bidi w:val="0"/>
              <w:ind w:left="0" w:right="0" w:firstLine="0"/>
              <w:jc w:val="left"/>
              <w:rPr>
                <w:rFonts w:ascii="Calibri" w:cs="Calibri" w:hAnsi="Calibri" w:eastAsia="Calibri"/>
                <w:sz w:val="24"/>
                <w:szCs w:val="24"/>
                <w:shd w:val="nil" w:color="auto" w:fill="auto"/>
                <w:rtl w:val="0"/>
              </w:rPr>
            </w:pPr>
            <w:r>
              <w:rPr>
                <w:rFonts w:ascii="Calibri" w:hAnsi="Calibri"/>
                <w:b w:val="1"/>
                <w:bCs w:val="1"/>
                <w:sz w:val="24"/>
                <w:szCs w:val="24"/>
                <w:shd w:val="nil" w:color="auto" w:fill="auto"/>
                <w:rtl w:val="0"/>
                <w:lang w:val="en-US"/>
              </w:rPr>
              <w:t>Major Donations Committee</w:t>
            </w:r>
            <w:r>
              <w:rPr>
                <w:rFonts w:ascii="Calibri" w:hAnsi="Calibri"/>
                <w:sz w:val="24"/>
                <w:szCs w:val="24"/>
                <w:shd w:val="nil" w:color="auto" w:fill="auto"/>
                <w:rtl w:val="0"/>
                <w:lang w:val="en-US"/>
              </w:rPr>
              <w:t xml:space="preserve"> - $10K - $100K; reactive and proactive grants; support service and program delivery initiatives that address priority areas as a preference; funds may also be used towards admin/infrastructure costs, collaborations, and other non-direct service expenses; 2 annual grant cycles, with fall and spring application deadlines. </w:t>
            </w:r>
          </w:p>
          <w:p>
            <w:pPr>
              <w:pStyle w:val="Body A"/>
              <w:bidi w:val="0"/>
              <w:ind w:left="0" w:right="0" w:firstLine="0"/>
              <w:jc w:val="left"/>
              <w:rPr>
                <w:rFonts w:ascii="Calibri" w:cs="Calibri" w:hAnsi="Calibri" w:eastAsia="Calibri"/>
                <w:sz w:val="24"/>
                <w:szCs w:val="24"/>
                <w:shd w:val="nil" w:color="auto" w:fill="auto"/>
                <w:rtl w:val="0"/>
              </w:rPr>
            </w:pPr>
            <w:r>
              <w:rPr>
                <w:rFonts w:ascii="Calibri" w:hAnsi="Calibri"/>
                <w:b w:val="1"/>
                <w:bCs w:val="1"/>
                <w:sz w:val="24"/>
                <w:szCs w:val="24"/>
                <w:shd w:val="nil" w:color="auto" w:fill="auto"/>
                <w:rtl w:val="0"/>
                <w:lang w:val="en-US"/>
              </w:rPr>
              <w:t>Legacy Donations Committee</w:t>
            </w:r>
            <w:r>
              <w:rPr>
                <w:rFonts w:ascii="Calibri" w:hAnsi="Calibri"/>
                <w:sz w:val="24"/>
                <w:szCs w:val="24"/>
                <w:shd w:val="nil" w:color="auto" w:fill="auto"/>
                <w:rtl w:val="0"/>
                <w:lang w:val="en-US"/>
              </w:rPr>
              <w:t xml:space="preserve"> - Significant investments, typically $100K and above; often proactive grants, made with strategic consideration of how RCCD</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 xml:space="preserve">s involvement can help </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move the needle</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on a priority area; support larger partnerships, systems change strategies, major capital, and/or capacity building grants to local priority issues; investments can be made in broader community initiatives as well as in the Club</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 Programs such as the Stay-in-School Program and Childhood Literacy Grants; may be single- or multi-year grants; annual funding application deadline (December 31); grants must be approved by RCCD Board at Committee</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 recommendation.</w:t>
            </w:r>
          </w:p>
          <w:p>
            <w:pPr>
              <w:pStyle w:val="Body A"/>
              <w:bidi w:val="0"/>
              <w:ind w:left="0" w:right="0" w:firstLine="0"/>
              <w:jc w:val="left"/>
              <w:rPr>
                <w:rtl w:val="0"/>
              </w:rPr>
            </w:pPr>
            <w:r>
              <w:rPr>
                <w:rFonts w:ascii="Calibri" w:hAnsi="Calibri"/>
                <w:b w:val="1"/>
                <w:bCs w:val="1"/>
                <w:sz w:val="24"/>
                <w:szCs w:val="24"/>
                <w:shd w:val="nil" w:color="auto" w:fill="auto"/>
                <w:rtl w:val="0"/>
                <w:lang w:val="en-US"/>
              </w:rPr>
              <w:t>Early Childhood Literacy Donations Committee</w:t>
            </w:r>
            <w:r>
              <w:rPr>
                <w:rFonts w:ascii="Calibri" w:hAnsi="Calibri"/>
                <w:sz w:val="24"/>
                <w:szCs w:val="24"/>
                <w:shd w:val="nil" w:color="auto" w:fill="auto"/>
                <w:rtl w:val="0"/>
                <w:lang w:val="en-US"/>
              </w:rPr>
              <w:t xml:space="preserve"> - Up to $100K (from Big Book Sale proceeds); restricted for Early Childhood Literacy initiatives involving children up to age 8; committee structure includes a community literacy advisory and network of seed partners that inform its grants; although Big Book Sale proceeds must be directed towards Early Childhood Literacy, there is discretion as to which Early Childhood Literacy organizations/programs/projects will be funded.</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40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2. All Grants must be approved by the Board. The Board delegates funding approval to the Major Donations Committee, Small Donations Committee, Early Childhood Literacy Committee and the Stay in School Program for projects under $10,000. All other grant requests $10,000.and over, must be approved by the Board.</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39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3. Revise local discretionary granting committees</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processes and criteria (e.g., application processes, timelines, documentation, review processes, decision-making tools, reporting and follow-up procedures, etc.) to ensure strategic priorities and directions are adopted.</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07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4. Revise local discretionary granting committees</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documents and communications to ensure strategic priorities and directions are accurately reflected in them.</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07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5. Ensure continuity and alignment among local discretionary granting committees</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processes, documents, and communications where possible and appropriate.</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314"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shd w:val="nil" w:color="auto" w:fill="auto"/>
              </w:rPr>
            </w:pPr>
            <w:r>
              <w:rPr>
                <w:rFonts w:ascii="Calibri" w:hAnsi="Calibri"/>
                <w:sz w:val="24"/>
                <w:szCs w:val="24"/>
                <w:shd w:val="nil" w:color="auto" w:fill="auto"/>
                <w:rtl w:val="0"/>
                <w:lang w:val="en-US"/>
              </w:rPr>
              <w:t>6. Strike a new Legacy Donations Committee, with Terms of Reference, guidelines, and procedures, with the intent of evaluating new opportunities and assessing opportunities to capitalize on previous Legacy grants and integrate them into Community Service programs.</w:t>
            </w:r>
          </w:p>
          <w:p>
            <w:pPr>
              <w:pStyle w:val="Body A"/>
              <w:rPr>
                <w:rFonts w:ascii="Calibri" w:cs="Calibri" w:hAnsi="Calibri" w:eastAsia="Calibri"/>
                <w:sz w:val="24"/>
                <w:szCs w:val="24"/>
                <w:shd w:val="nil" w:color="auto" w:fill="auto"/>
                <w:lang w:val="en-US"/>
              </w:rPr>
            </w:pPr>
          </w:p>
          <w:p>
            <w:pPr>
              <w:pStyle w:val="Body A"/>
            </w:pPr>
            <w:r>
              <w:rPr>
                <w:rFonts w:ascii="Calibri" w:cs="Calibri" w:hAnsi="Calibri" w:eastAsia="Calibri"/>
                <w:sz w:val="24"/>
                <w:szCs w:val="24"/>
                <w:shd w:val="nil" w:color="auto" w:fill="auto"/>
                <w:lang w:val="en-US"/>
              </w:rPr>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418"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keepNext w:val="1"/>
              <w:keepLines w:val="1"/>
            </w:pPr>
            <w:r>
              <w:rPr>
                <w:rFonts w:ascii="Calibri" w:hAnsi="Calibri"/>
                <w:b w:val="1"/>
                <w:bCs w:val="1"/>
                <w:outline w:val="0"/>
                <w:color w:val="0070c0"/>
                <w:sz w:val="24"/>
                <w:szCs w:val="24"/>
                <w:u w:color="0070c0"/>
                <w:shd w:val="nil" w:color="auto" w:fill="auto"/>
                <w:rtl w:val="0"/>
                <w:lang w:val="en-US"/>
                <w14:textFill>
                  <w14:solidFill>
                    <w14:srgbClr w14:val="0070C0"/>
                  </w14:solidFill>
                </w14:textFill>
              </w:rPr>
              <w:t>Strategic Directions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pPr>
            <w:r>
              <w:rPr>
                <w:rFonts w:ascii="Calibri" w:hAnsi="Calibri"/>
                <w:b w:val="1"/>
                <w:bCs w:val="1"/>
                <w:outline w:val="0"/>
                <w:color w:val="0070c0"/>
                <w:sz w:val="16"/>
                <w:szCs w:val="16"/>
                <w:u w:color="0070c0"/>
                <w:shd w:val="nil" w:color="auto" w:fill="auto"/>
                <w:rtl w:val="0"/>
                <w:lang w:val="en-US"/>
                <w14:textFill>
                  <w14:solidFill>
                    <w14:srgbClr w14:val="0070C0"/>
                  </w14:solidFill>
                </w14:textFill>
              </w:rPr>
              <w:t>Responsibility</w:t>
            </w: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jc w:val="center"/>
            </w:pPr>
            <w:r>
              <w:rPr>
                <w:rFonts w:ascii="Calibri" w:hAnsi="Calibri"/>
                <w:b w:val="1"/>
                <w:bCs w:val="1"/>
                <w:outline w:val="0"/>
                <w:color w:val="ff0000"/>
                <w:sz w:val="16"/>
                <w:szCs w:val="16"/>
                <w:u w:color="ff0000"/>
                <w:shd w:val="nil" w:color="auto" w:fill="auto"/>
                <w:rtl w:val="0"/>
                <w:lang w:val="en-US"/>
                <w14:textFill>
                  <w14:solidFill>
                    <w14:srgbClr w14:val="FF0000"/>
                  </w14:solidFill>
                </w14:textFill>
              </w:rPr>
              <w:t>Year 1</w:t>
            </w: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jc w:val="center"/>
            </w:pPr>
            <w:r>
              <w:rPr>
                <w:rFonts w:ascii="Calibri" w:hAnsi="Calibri"/>
                <w:b w:val="1"/>
                <w:bCs w:val="1"/>
                <w:outline w:val="0"/>
                <w:color w:val="ff0000"/>
                <w:sz w:val="16"/>
                <w:szCs w:val="16"/>
                <w:u w:color="ff0000"/>
                <w:shd w:val="nil" w:color="auto" w:fill="auto"/>
                <w:rtl w:val="0"/>
                <w:lang w:val="en-US"/>
                <w14:textFill>
                  <w14:solidFill>
                    <w14:srgbClr w14:val="FF0000"/>
                  </w14:solidFill>
                </w14:textFill>
              </w:rPr>
              <w:t>Year 2</w:t>
            </w: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jc w:val="center"/>
            </w:pPr>
            <w:r>
              <w:rPr>
                <w:rFonts w:ascii="Calibri" w:hAnsi="Calibri"/>
                <w:b w:val="1"/>
                <w:bCs w:val="1"/>
                <w:outline w:val="0"/>
                <w:color w:val="ff0000"/>
                <w:sz w:val="16"/>
                <w:szCs w:val="16"/>
                <w:u w:color="ff0000"/>
                <w:shd w:val="nil" w:color="auto" w:fill="auto"/>
                <w:rtl w:val="0"/>
                <w:lang w:val="en-US"/>
                <w14:textFill>
                  <w14:solidFill>
                    <w14:srgbClr w14:val="FF0000"/>
                  </w14:solidFill>
                </w14:textFill>
              </w:rPr>
              <w:t>Year 3</w:t>
            </w: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keepNext w:val="1"/>
              <w:keepLines w:val="1"/>
            </w:pPr>
            <w:r>
              <w:rPr>
                <w:rFonts w:ascii="Calibri" w:hAnsi="Calibri"/>
                <w:b w:val="1"/>
                <w:bCs w:val="1"/>
                <w:sz w:val="20"/>
                <w:szCs w:val="20"/>
                <w:shd w:val="nil" w:color="auto" w:fill="auto"/>
                <w:rtl w:val="0"/>
                <w:lang w:val="en-US"/>
              </w:rPr>
              <w:t>FINANCIAL RESOURCES: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5074"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keepNext w:val="1"/>
              <w:keepLines w:val="1"/>
              <w:rPr>
                <w:rFonts w:ascii="Calibri" w:cs="Calibri" w:hAnsi="Calibri" w:eastAsia="Calibri"/>
                <w:kern w:val="0"/>
                <w:sz w:val="24"/>
                <w:szCs w:val="24"/>
                <w:shd w:val="nil" w:color="auto" w:fill="auto"/>
              </w:rPr>
            </w:pPr>
            <w:r>
              <w:rPr>
                <w:rFonts w:ascii="Calibri" w:hAnsi="Calibri"/>
                <w:kern w:val="2"/>
                <w:sz w:val="24"/>
                <w:szCs w:val="24"/>
                <w:shd w:val="nil" w:color="auto" w:fill="auto"/>
                <w:rtl w:val="0"/>
                <w:lang w:val="en-US"/>
              </w:rPr>
              <w:t xml:space="preserve">1. Allocate funds available for local discretionary granting as follows: Legacy Donations Committee </w:t>
            </w:r>
            <w:r>
              <w:rPr>
                <w:rFonts w:ascii="Calibri" w:hAnsi="Calibri" w:hint="default"/>
                <w:kern w:val="2"/>
                <w:sz w:val="24"/>
                <w:szCs w:val="24"/>
                <w:shd w:val="nil" w:color="auto" w:fill="auto"/>
                <w:rtl w:val="0"/>
                <w:lang w:val="en-US"/>
              </w:rPr>
              <w:t xml:space="preserve">– </w:t>
            </w:r>
            <w:r>
              <w:rPr>
                <w:rFonts w:ascii="Calibri" w:hAnsi="Calibri"/>
                <w:kern w:val="2"/>
                <w:sz w:val="24"/>
                <w:szCs w:val="24"/>
                <w:shd w:val="nil" w:color="auto" w:fill="auto"/>
                <w:rtl w:val="0"/>
                <w:lang w:val="en-US"/>
              </w:rPr>
              <w:t xml:space="preserve">50% of </w:t>
            </w:r>
            <w:r>
              <w:rPr>
                <w:rFonts w:ascii="Calibri" w:hAnsi="Calibri"/>
                <w:b w:val="1"/>
                <w:bCs w:val="1"/>
                <w:kern w:val="2"/>
                <w:sz w:val="24"/>
                <w:szCs w:val="24"/>
                <w:shd w:val="nil" w:color="auto" w:fill="auto"/>
                <w:rtl w:val="0"/>
                <w:lang w:val="en-US"/>
              </w:rPr>
              <w:t>total Discretionary Funds</w:t>
            </w:r>
            <w:r>
              <w:rPr>
                <w:rFonts w:ascii="Calibri" w:hAnsi="Calibri"/>
                <w:kern w:val="2"/>
                <w:sz w:val="24"/>
                <w:szCs w:val="24"/>
                <w:shd w:val="nil" w:color="auto" w:fill="auto"/>
                <w:rtl w:val="0"/>
                <w:lang w:val="en-US"/>
              </w:rPr>
              <w:t>, with approx. half the committee</w:t>
            </w:r>
            <w:r>
              <w:rPr>
                <w:rFonts w:ascii="Calibri" w:hAnsi="Calibri" w:hint="default"/>
                <w:kern w:val="2"/>
                <w:sz w:val="24"/>
                <w:szCs w:val="24"/>
                <w:shd w:val="nil" w:color="auto" w:fill="auto"/>
                <w:rtl w:val="0"/>
                <w:lang w:val="en-US"/>
              </w:rPr>
              <w:t>’</w:t>
            </w:r>
            <w:r>
              <w:rPr>
                <w:rFonts w:ascii="Calibri" w:hAnsi="Calibri"/>
                <w:kern w:val="2"/>
                <w:sz w:val="24"/>
                <w:szCs w:val="24"/>
                <w:shd w:val="nil" w:color="auto" w:fill="auto"/>
                <w:rtl w:val="0"/>
                <w:lang w:val="en-US"/>
              </w:rPr>
              <w:t>s allocation dedicated to multi-year initiatives and approximately half to shorter-term/single year projects*</w:t>
            </w:r>
            <w:r>
              <w:rPr>
                <w:rFonts w:ascii="Calibri" w:hAnsi="Calibri"/>
                <w:b w:val="1"/>
                <w:bCs w:val="1"/>
                <w:kern w:val="2"/>
                <w:sz w:val="24"/>
                <w:szCs w:val="24"/>
                <w:shd w:val="nil" w:color="auto" w:fill="auto"/>
                <w:rtl w:val="0"/>
                <w:lang w:val="en-US"/>
              </w:rPr>
              <w:t xml:space="preserve">; </w:t>
            </w:r>
            <w:r>
              <w:rPr>
                <w:rFonts w:ascii="Calibri" w:hAnsi="Calibri"/>
                <w:kern w:val="2"/>
                <w:sz w:val="24"/>
                <w:szCs w:val="24"/>
                <w:shd w:val="nil" w:color="auto" w:fill="auto"/>
                <w:rtl w:val="0"/>
                <w:lang w:val="en-US"/>
              </w:rPr>
              <w:t xml:space="preserve">Local Community Service - 25% of </w:t>
            </w:r>
            <w:r>
              <w:rPr>
                <w:rFonts w:ascii="Calibri" w:hAnsi="Calibri"/>
                <w:b w:val="1"/>
                <w:bCs w:val="1"/>
                <w:kern w:val="2"/>
                <w:sz w:val="24"/>
                <w:szCs w:val="24"/>
                <w:shd w:val="nil" w:color="auto" w:fill="auto"/>
                <w:rtl w:val="0"/>
                <w:lang w:val="en-US"/>
              </w:rPr>
              <w:t>total Discretionary Funds</w:t>
            </w:r>
            <w:r>
              <w:rPr>
                <w:rFonts w:ascii="Calibri" w:hAnsi="Calibri"/>
                <w:kern w:val="2"/>
                <w:sz w:val="24"/>
                <w:szCs w:val="24"/>
                <w:shd w:val="nil" w:color="auto" w:fill="auto"/>
                <w:rtl w:val="0"/>
                <w:lang w:val="en-US"/>
              </w:rPr>
              <w:t xml:space="preserve">, divided 85:15 between Major Donations and Small Donations Committees. Note that the remaining 25% of </w:t>
            </w:r>
            <w:r>
              <w:rPr>
                <w:rFonts w:ascii="Calibri" w:hAnsi="Calibri"/>
                <w:b w:val="1"/>
                <w:bCs w:val="1"/>
                <w:kern w:val="2"/>
                <w:sz w:val="24"/>
                <w:szCs w:val="24"/>
                <w:shd w:val="nil" w:color="auto" w:fill="auto"/>
                <w:rtl w:val="0"/>
                <w:lang w:val="en-US"/>
              </w:rPr>
              <w:t>total Discretionary Funds</w:t>
            </w:r>
            <w:r>
              <w:rPr>
                <w:rFonts w:ascii="Calibri" w:hAnsi="Calibri"/>
                <w:kern w:val="2"/>
                <w:sz w:val="24"/>
                <w:szCs w:val="24"/>
                <w:shd w:val="nil" w:color="auto" w:fill="auto"/>
                <w:rtl w:val="0"/>
                <w:lang w:val="en-US"/>
              </w:rPr>
              <w:t xml:space="preserve"> is allocated towards World Community Service, not local discretionary granting. </w:t>
            </w:r>
          </w:p>
          <w:p>
            <w:pPr>
              <w:pStyle w:val="Body A"/>
              <w:keepNext w:val="1"/>
              <w:keepLines w:val="1"/>
              <w:bidi w:val="0"/>
              <w:ind w:left="0" w:right="0" w:firstLine="0"/>
              <w:jc w:val="left"/>
              <w:rPr>
                <w:rtl w:val="0"/>
              </w:rPr>
            </w:pPr>
            <w:r>
              <w:rPr>
                <w:rFonts w:ascii="Calibri" w:hAnsi="Calibri"/>
                <w:kern w:val="0"/>
                <w:sz w:val="24"/>
                <w:szCs w:val="24"/>
                <w:shd w:val="nil" w:color="auto" w:fill="auto"/>
                <w:rtl w:val="0"/>
                <w:lang w:val="en-US"/>
              </w:rPr>
              <w:t>*If an appropriate multi-year project is not available for Legacy Donations program funding by December 31</w:t>
            </w:r>
            <w:r>
              <w:rPr>
                <w:rFonts w:ascii="Calibri" w:hAnsi="Calibri"/>
                <w:kern w:val="0"/>
                <w:sz w:val="24"/>
                <w:szCs w:val="24"/>
                <w:shd w:val="nil" w:color="auto" w:fill="auto"/>
                <w:vertAlign w:val="superscript"/>
                <w:rtl w:val="0"/>
                <w:lang w:val="en-US"/>
              </w:rPr>
              <w:t>st</w:t>
            </w:r>
            <w:r>
              <w:rPr>
                <w:rFonts w:ascii="Calibri" w:hAnsi="Calibri"/>
                <w:kern w:val="0"/>
                <w:sz w:val="24"/>
                <w:szCs w:val="24"/>
                <w:shd w:val="nil" w:color="auto" w:fill="auto"/>
                <w:rtl w:val="0"/>
                <w:lang w:val="en-US"/>
              </w:rPr>
              <w:t xml:space="preserve"> of any year, (subject to recommendation from the Legacy Donations Committee and approval by the Board), the multi-year funds for any particular year can be used for annual projects or deferred into a multi-year pool. However, annual Legacy Donations program funds cannot be used for a multi-year project unless it is recommended by the Legacy Donations Committee, endorsed by the Granting Committees, endorsed by the Long Range Planning Committee, approved by the Board, and voted on by</w:t>
            </w:r>
            <w:r>
              <w:rPr>
                <w:rFonts w:ascii="Calibri" w:hAnsi="Calibri"/>
                <w:sz w:val="24"/>
                <w:szCs w:val="24"/>
                <w:shd w:val="nil" w:color="auto" w:fill="auto"/>
                <w:rtl w:val="0"/>
                <w:lang w:val="en-US"/>
              </w:rPr>
              <w:t xml:space="preserve"> </w:t>
            </w:r>
            <w:r>
              <w:rPr>
                <w:rFonts w:ascii="Calibri" w:hAnsi="Calibri"/>
                <w:kern w:val="0"/>
                <w:sz w:val="24"/>
                <w:szCs w:val="24"/>
                <w:shd w:val="nil" w:color="auto" w:fill="auto"/>
                <w:rtl w:val="0"/>
                <w:lang w:val="en-US"/>
              </w:rPr>
              <w:t>the Club. As this has the potential to be a major financial and strategic shift, proper governance formsthe basis of this recommended allocation structure.</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 xml:space="preserve">2. Develop clear communications and illustrations regarding the method through which the Club derives its discretionary granting allocations. </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24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 xml:space="preserve">3. Review the discretionary granting allocations </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split</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on the same cycle that the Club</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 granting priorities are reviewed</w:t>
            </w:r>
            <w:r>
              <w:rPr>
                <w:rFonts w:ascii="Calibri" w:hAnsi="Calibri"/>
                <w:kern w:val="0"/>
                <w:sz w:val="24"/>
                <w:szCs w:val="24"/>
                <w:shd w:val="nil" w:color="auto" w:fill="auto"/>
                <w:rtl w:val="0"/>
                <w:lang w:val="en-US"/>
              </w:rPr>
              <w:t xml:space="preserve">. Consultation on the </w:t>
            </w:r>
            <w:r>
              <w:rPr>
                <w:rFonts w:ascii="Calibri" w:hAnsi="Calibri" w:hint="default"/>
                <w:kern w:val="0"/>
                <w:sz w:val="24"/>
                <w:szCs w:val="24"/>
                <w:shd w:val="nil" w:color="auto" w:fill="auto"/>
                <w:rtl w:val="0"/>
                <w:lang w:val="en-US"/>
              </w:rPr>
              <w:t>“</w:t>
            </w:r>
            <w:r>
              <w:rPr>
                <w:rFonts w:ascii="Calibri" w:hAnsi="Calibri"/>
                <w:kern w:val="0"/>
                <w:sz w:val="24"/>
                <w:szCs w:val="24"/>
                <w:shd w:val="nil" w:color="auto" w:fill="auto"/>
                <w:rtl w:val="0"/>
                <w:lang w:val="en-US"/>
              </w:rPr>
              <w:t>split</w:t>
            </w:r>
            <w:r>
              <w:rPr>
                <w:rFonts w:ascii="Calibri" w:hAnsi="Calibri" w:hint="default"/>
                <w:kern w:val="0"/>
                <w:sz w:val="24"/>
                <w:szCs w:val="24"/>
                <w:shd w:val="nil" w:color="auto" w:fill="auto"/>
                <w:rtl w:val="0"/>
                <w:lang w:val="en-US"/>
              </w:rPr>
              <w:t xml:space="preserve">” </w:t>
            </w:r>
            <w:r>
              <w:rPr>
                <w:rFonts w:ascii="Calibri" w:hAnsi="Calibri"/>
                <w:kern w:val="0"/>
                <w:sz w:val="24"/>
                <w:szCs w:val="24"/>
                <w:shd w:val="nil" w:color="auto" w:fill="auto"/>
                <w:rtl w:val="0"/>
                <w:lang w:val="en-US"/>
              </w:rPr>
              <w:t>should include but not be limited to: Long Range Planning Committee, Chairs of Granting Committees, Directors responsible for granting, Board, Past-President, current President, President-elect, President-nominee.</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92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4. Allow for flexibility in what local discretionary grants fund, to include not only direct service expenses, but also such work as larger partnerships, operating expenses, systems change initiatives, major capital, and capacity building grants.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545"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5. Provide donations only to registered charities and other qualified donees, as defined by CRA. RCCD donations are not available to: nonprofit organizations without a formal agreement with a charitable sponsor; initiatives that do not align with RCCD</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 values; academic research; crowd sourcing; individuals; fundraising salaries and activities; debt retirement and endowments; religious services or proselytizing.</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6. Develop fundraising activities that enable RCCD to grow the financial resources available for local discretionary grants.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pPr>
            <w:r>
              <w:rPr>
                <w:rFonts w:ascii="Calibri" w:hAnsi="Calibri"/>
                <w:b w:val="1"/>
                <w:bCs w:val="1"/>
                <w:sz w:val="20"/>
                <w:szCs w:val="20"/>
                <w:shd w:val="nil" w:color="auto" w:fill="auto"/>
                <w:rtl w:val="0"/>
                <w:lang w:val="en-US"/>
              </w:rPr>
              <w:t>CLUB MEMBER ENGAGEMENT:</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 xml:space="preserve">1. Give preference or </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extra weight</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to grant applications that include a Club member engagement component, and ensure this preference is communicated to potential grantees.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2. Promote Club member involvement in local discretionary grants committees and in community service activities in priority areas.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2184"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3. Periodically survey Club members regarding which community priorities they are interested in becoming involved in, and the roles they would be interested fulfilling (as in the April 2024 Club Member Survey), and directly connect them with those engagement opportunities. Develop and maintain a database of Club members</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 xml:space="preserve">skills and expertise, as well as their interests and desires as indicated in their survey responses: this could potentially be done through ClubRunner, with a Board communication being sent out asking members to add skills, interest and expertise to their existing ClubRunner profiles. </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4. Follow up with Club members regarding the survey responses, to ensure those expressing a desire to get engaged are given an opportunity to do so.</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40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5. Determine the actual number of active Rotarians and the activities they are involved in vs. non-active Rotarians, to assess Club capacity more clearly. This could potentially be accomplished through an analysis of Club data (in compliance with privacy regulations) by the Office Manager once member profiles are updated.</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6. Work with Fellowship Director to ensure proper support for community service projects gets embedded in the Club fellowship programming.</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keepNext w:val="1"/>
              <w:keepLines w:val="1"/>
            </w:pPr>
            <w:r>
              <w:rPr>
                <w:rFonts w:ascii="Calibri" w:hAnsi="Calibri"/>
                <w:b w:val="1"/>
                <w:bCs w:val="1"/>
                <w:sz w:val="20"/>
                <w:szCs w:val="20"/>
                <w:shd w:val="nil" w:color="auto" w:fill="auto"/>
                <w:rtl w:val="0"/>
                <w:lang w:val="en-US"/>
              </w:rPr>
              <w:t>COLLABORATION:</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keepNext w:val="1"/>
              <w:keepLines w:val="1"/>
            </w:pPr>
            <w:r>
              <w:rPr>
                <w:rFonts w:ascii="Calibri" w:hAnsi="Calibri"/>
                <w:sz w:val="24"/>
                <w:szCs w:val="24"/>
                <w:shd w:val="nil" w:color="auto" w:fill="auto"/>
                <w:rtl w:val="0"/>
                <w:lang w:val="en-US"/>
              </w:rPr>
              <w:t>1. Continue to develop collaborative funding initiatives with other District Rotary Clubs through YYC Helps and other opportunities to work together.</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92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 xml:space="preserve">2. Work collaboratively with other funders/granters where possible, both informally and potentially through such organizations as Association of Grant-makers in Alberta, to ensure adherence to best practices as well as to seek greater impact for our granting activities.  </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3. Pursue funding partnerships with foundations and private sector partners that are aligned principally with RCCD values and priority issues.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 xml:space="preserve">4. Engage </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community experts</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and people with lived experience on an as-needed basis to assist with RCCD</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 granting decisions and education regarding priorities and community issues.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5. Establish processes to ensure that deliberations of the four granting committees are shared among them to optimize impact and adherence to the Local Discretionary Granting Strategy.</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pPr>
            <w:r>
              <w:rPr>
                <w:rFonts w:ascii="Calibri" w:hAnsi="Calibri"/>
                <w:b w:val="1"/>
                <w:bCs w:val="1"/>
                <w:sz w:val="20"/>
                <w:szCs w:val="20"/>
                <w:shd w:val="nil" w:color="auto" w:fill="auto"/>
                <w:rtl w:val="0"/>
                <w:lang w:val="en-US"/>
              </w:rPr>
              <w:t>COMMUNICATIONS: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 xml:space="preserve">1. Ensure all RCCD internal and external communications have current, accurate, consistent information regarding its local discretionary granting programs, priorities, processes, impact, etc. </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92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2. Develop communications strategies that facilitate communications among the RCCD board and any committees that are involved in local discretionary granting, and ensure members are aware of our focus, activities, grants, and impact.</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3. Develop and implement strategic communications that brand and position RCCD in the community, as related to local discretionary granting and all its community service.</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4. Create an Annual Report for the Club to provide accountability and communication regarding RCCD</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 local discretionary granting and all its community service.</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5. Use social media to share RCCD</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 grants and community service on an ongoing basis.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 xml:space="preserve">6. Develop a one page </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elevator speech highlights</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for Club leaders, Past-Presidents, Committee Chairs, etc. to be able to talk about the Local Discretionary Granting Strategy.</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121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7. The GSTF heard that the fulfillment of the Club</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 xml:space="preserve">s communications role is demanding and needs additional human resource support. Please see </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Human Resources</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in the appendix below for recommendations regarding the consideration of the human resources required to support the Granting</w:t>
            </w:r>
            <w:r>
              <w:rPr>
                <w:rFonts w:ascii="Calibri" w:hAnsi="Calibri"/>
                <w:sz w:val="24"/>
                <w:szCs w:val="24"/>
                <w:shd w:val="clear" w:color="auto" w:fill="ffff00"/>
                <w:rtl w:val="0"/>
                <w:lang w:val="en-US"/>
              </w:rPr>
              <w:t xml:space="preserve"> </w:t>
            </w:r>
            <w:r>
              <w:rPr>
                <w:rFonts w:ascii="Calibri" w:hAnsi="Calibri"/>
                <w:sz w:val="24"/>
                <w:szCs w:val="24"/>
                <w:shd w:val="nil" w:color="auto" w:fill="auto"/>
                <w:rtl w:val="0"/>
                <w:lang w:val="en-US"/>
              </w:rPr>
              <w:t>Strategy and other Club functions.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1"/>
              <w:spacing w:before="0" w:after="0"/>
            </w:pPr>
            <w:r>
              <w:rPr>
                <w:rFonts w:ascii="Calibri" w:hAnsi="Calibri"/>
                <w:shd w:val="nil" w:color="auto" w:fill="auto"/>
                <w:rtl w:val="0"/>
                <w:lang w:val="en-US"/>
              </w:rPr>
              <w:t xml:space="preserve">8. Communication to the Club is facilitated by the Communications Director and Chair. </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pPr>
            <w:r>
              <w:rPr>
                <w:rFonts w:ascii="Calibri" w:hAnsi="Calibri"/>
                <w:b w:val="1"/>
                <w:bCs w:val="1"/>
                <w:sz w:val="20"/>
                <w:szCs w:val="20"/>
                <w:shd w:val="nil" w:color="auto" w:fill="auto"/>
                <w:rtl w:val="0"/>
                <w:lang w:val="en-US"/>
              </w:rPr>
              <w:t>EDUCATION:</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1. Offer ongoing opportunities for learning and involvement in RCCD</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 local discretionary granting programs and priority areas.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pPr>
            <w:r>
              <w:rPr>
                <w:rFonts w:ascii="Calibri" w:hAnsi="Calibri"/>
                <w:b w:val="1"/>
                <w:bCs w:val="1"/>
                <w:sz w:val="20"/>
                <w:szCs w:val="20"/>
                <w:shd w:val="nil" w:color="auto" w:fill="auto"/>
                <w:rtl w:val="0"/>
                <w:lang w:val="en-US"/>
              </w:rPr>
              <w:t>MEMBERSHIP:</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92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1. Include in member recruitment and orientation/onboarding materials clear, inspiring information regarding RCCD</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s local discretionary granting work, priorities, community impact, and opportunities to get engaged, and seek to attract members who will actively engage in the Club</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 xml:space="preserve">s efforts. </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92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 xml:space="preserve">2. Survey every new Club member regarding which priorities they are interested in becoming involved in, and the roles they would be interested in fulfilling (as in the April 2024 Club Member Survey), and directly connect them with those opportunities to engage. </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3. Actively recruit new members to join local discretionary granting committees and/or introduce new members to organizations and programs that address the priority issues.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88"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4. Actively and personally invite all members to participate in community service projects and particularly in those related to projects funded through the granting committees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pPr>
            <w:r>
              <w:rPr>
                <w:rFonts w:ascii="Calibri" w:hAnsi="Calibri"/>
                <w:b w:val="1"/>
                <w:bCs w:val="1"/>
                <w:sz w:val="20"/>
                <w:szCs w:val="20"/>
                <w:shd w:val="nil" w:color="auto" w:fill="auto"/>
                <w:rtl w:val="0"/>
                <w:lang w:val="en-US"/>
              </w:rPr>
              <w:t>CLUB MEETINGS: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1. Provide opportunities for grantees to make presentations at Club meetings regarding their RCCD funded work and its impact.</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2. Provide input to the Program Committee master calendar/schedule to facilitate and grow Club support for the implementation of the approved Local Discretionary Granting Strategy.</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78"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3. Work with Programs Director to ensure proper level of lunch meeting programming is allocated to work of the granting committees and related community service programming</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pPr>
            <w:r>
              <w:rPr>
                <w:rFonts w:ascii="Calibri" w:hAnsi="Calibri"/>
                <w:b w:val="1"/>
                <w:bCs w:val="1"/>
                <w:sz w:val="20"/>
                <w:szCs w:val="20"/>
                <w:shd w:val="nil" w:color="auto" w:fill="auto"/>
                <w:rtl w:val="0"/>
                <w:lang w:val="en-US"/>
              </w:rPr>
              <w:t>COMMUNITY IMPACT:</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92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1. Collect data and stories demonstrating the impact of RCCD funded initiatives and communicate the impact of these grants (individually and collectively) to the Club and to the community. Include past and present stories that highlight the history and evolution of the Club.</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896"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2. Make a significant, sustained community impact by connecting with projects RCCD supports in multiple ways (e.g., grants, community service activities, convening, offering Club member expertise, etc.), and on a longer-term, ongoing basis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pPr>
            <w:r>
              <w:rPr>
                <w:rFonts w:ascii="Calibri" w:hAnsi="Calibri"/>
                <w:b w:val="1"/>
                <w:bCs w:val="1"/>
                <w:sz w:val="20"/>
                <w:szCs w:val="20"/>
                <w:shd w:val="nil" w:color="auto" w:fill="auto"/>
                <w:rtl w:val="0"/>
                <w:lang w:val="en-US"/>
              </w:rPr>
              <w:t>STRATEGY IMPLEMENTATION &amp; CONTINUITY:</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numPr>
                <w:ilvl w:val="0"/>
                <w:numId w:val="9"/>
              </w:numPr>
              <w:rPr>
                <w:sz w:val="24"/>
                <w:szCs w:val="24"/>
                <w:lang w:val="en-US"/>
              </w:rPr>
            </w:pPr>
            <w:r>
              <w:rPr>
                <w:rFonts w:ascii="Calibri" w:hAnsi="Calibri"/>
                <w:sz w:val="24"/>
                <w:szCs w:val="24"/>
                <w:shd w:val="nil" w:color="auto" w:fill="auto"/>
                <w:rtl w:val="0"/>
                <w:lang w:val="en-US"/>
              </w:rPr>
              <w:t>Any plans of implementation and communication to the Club should be held until the final form and timing of the Local Discretionary Granting Strategy is approved by the Board.</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963"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shd w:val="nil" w:color="auto" w:fill="auto"/>
              </w:rPr>
            </w:pPr>
            <w:r>
              <w:rPr>
                <w:rFonts w:ascii="Calibri" w:hAnsi="Calibri"/>
                <w:sz w:val="24"/>
                <w:szCs w:val="24"/>
                <w:shd w:val="nil" w:color="auto" w:fill="auto"/>
                <w:rtl w:val="0"/>
                <w:lang w:val="en-US"/>
              </w:rPr>
              <w:t xml:space="preserve">2. Establish a </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Granting Strategy Implementation Team</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 xml:space="preserve">(GSIT) to ensure the implementation of the Granting Strategy throughout the Club. The use of a GSIT provides the necessary focus and oversight resources to ensure the continued commitment to implement the strategy. The GSIT would consist of the current members of the Granting Strategy Task Force, the Community Services Director, the Director Early Childhood Literacy, Granting Committee Chairs, and other necessary Club members to ensure the strategy is implemented. </w:t>
            </w:r>
          </w:p>
          <w:p>
            <w:pPr>
              <w:pStyle w:val="Body A"/>
              <w:bidi w:val="0"/>
              <w:ind w:left="0" w:right="0" w:firstLine="0"/>
              <w:jc w:val="left"/>
              <w:rPr>
                <w:rFonts w:ascii="Calibri" w:cs="Calibri" w:hAnsi="Calibri" w:eastAsia="Calibri"/>
                <w:sz w:val="24"/>
                <w:szCs w:val="24"/>
                <w:shd w:val="nil" w:color="auto" w:fill="auto"/>
                <w:rtl w:val="0"/>
              </w:rPr>
            </w:pPr>
            <w:r>
              <w:rPr>
                <w:rFonts w:ascii="Calibri" w:hAnsi="Calibri"/>
                <w:sz w:val="24"/>
                <w:szCs w:val="24"/>
                <w:shd w:val="nil" w:color="auto" w:fill="auto"/>
                <w:rtl w:val="0"/>
                <w:lang w:val="en-US"/>
              </w:rPr>
              <w:t>The GSIT reports to the Board through the Community Service Director.</w:t>
            </w:r>
          </w:p>
          <w:p>
            <w:pPr>
              <w:pStyle w:val="Body A"/>
              <w:bidi w:val="0"/>
              <w:ind w:left="0" w:right="0" w:firstLine="0"/>
              <w:jc w:val="left"/>
              <w:rPr>
                <w:rtl w:val="0"/>
              </w:rPr>
            </w:pPr>
            <w:r>
              <w:rPr>
                <w:rFonts w:ascii="Calibri" w:hAnsi="Calibri"/>
                <w:sz w:val="24"/>
                <w:szCs w:val="24"/>
                <w:shd w:val="nil" w:color="auto" w:fill="auto"/>
                <w:rtl w:val="0"/>
                <w:lang w:val="en-US"/>
              </w:rPr>
              <w:t xml:space="preserve">(Note: In past Board discussions related to the Legacy Task Force, Big Book Sale Integration Team, and Granting Strategy Task Force, it was stated that a </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Committee</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 xml:space="preserve">implies a permanent body, whereas a Team or Task Force implies a time limited body. This is why the term </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Team</w:t>
            </w:r>
            <w:r>
              <w:rPr>
                <w:rFonts w:ascii="Calibri" w:hAnsi="Calibri" w:hint="default"/>
                <w:sz w:val="24"/>
                <w:szCs w:val="24"/>
                <w:shd w:val="nil" w:color="auto" w:fill="auto"/>
                <w:rtl w:val="0"/>
                <w:lang w:val="en-US"/>
              </w:rPr>
              <w:t xml:space="preserve">” </w:t>
            </w:r>
            <w:r>
              <w:rPr>
                <w:rFonts w:ascii="Calibri" w:hAnsi="Calibri"/>
                <w:sz w:val="24"/>
                <w:szCs w:val="24"/>
                <w:shd w:val="nil" w:color="auto" w:fill="auto"/>
                <w:rtl w:val="0"/>
                <w:lang w:val="en-US"/>
              </w:rPr>
              <w:t>was used to describe the group tasked with ensuring the implementation of this strategy.)</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3. The GSIT will work with the various functional Directors to determine the level of integration of the Granting Strategy into the various areas.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tabs>
                <w:tab w:val="left" w:pos="5689"/>
              </w:tabs>
            </w:pPr>
            <w:r>
              <w:rPr>
                <w:rFonts w:ascii="Calibri" w:hAnsi="Calibri"/>
                <w:sz w:val="24"/>
                <w:szCs w:val="24"/>
                <w:shd w:val="nil" w:color="auto" w:fill="auto"/>
                <w:rtl w:val="0"/>
                <w:lang w:val="en-US"/>
              </w:rPr>
              <w:t>4. Educate the Club on the 2024-26 Local Discretionary Granting Strategy.</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 xml:space="preserve">5. Committees develop work plans based on the Granting Strategy, to translate the Granting Strategy into action and ensure the Strategy is implemented. </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607" w:hRule="atLeast"/>
        </w:trPr>
        <w:tc>
          <w:tcPr>
            <w:tcW w:type="dxa" w:w="101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6. Educate Club members regarding the community needs that have been identified as local discretionary granting priorities.</w:t>
            </w:r>
          </w:p>
        </w:tc>
        <w:tc>
          <w:tcPr>
            <w:tcW w:type="dxa" w:w="1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pacing w:line="240" w:lineRule="auto"/>
        <w:ind w:left="324" w:hanging="324"/>
        <w:rPr>
          <w:rFonts w:ascii="Calibri" w:cs="Calibri" w:hAnsi="Calibri" w:eastAsia="Calibri"/>
          <w:b w:val="1"/>
          <w:bCs w:val="1"/>
          <w:sz w:val="24"/>
          <w:szCs w:val="24"/>
        </w:rPr>
      </w:pPr>
    </w:p>
    <w:p>
      <w:pPr>
        <w:pStyle w:val="Body A"/>
        <w:widowControl w:val="0"/>
        <w:spacing w:line="240" w:lineRule="auto"/>
        <w:ind w:left="216" w:hanging="216"/>
        <w:rPr>
          <w:rFonts w:ascii="Calibri" w:cs="Calibri" w:hAnsi="Calibri" w:eastAsia="Calibri"/>
          <w:b w:val="1"/>
          <w:bCs w:val="1"/>
          <w:sz w:val="24"/>
          <w:szCs w:val="24"/>
        </w:rPr>
      </w:pPr>
    </w:p>
    <w:p>
      <w:pPr>
        <w:pStyle w:val="Body A"/>
        <w:widowControl w:val="0"/>
        <w:spacing w:line="240" w:lineRule="auto"/>
        <w:ind w:left="108" w:hanging="108"/>
      </w:pPr>
    </w:p>
    <w:p>
      <w:pPr>
        <w:pStyle w:val="Heading"/>
        <w:rPr>
          <w:lang w:val="da-DK"/>
        </w:rPr>
      </w:pPr>
      <w:r>
        <w:rPr>
          <w:rtl w:val="0"/>
          <w:lang w:val="da-DK"/>
        </w:rPr>
        <w:t>Appendix</w:t>
      </w:r>
    </w:p>
    <w:p>
      <w:pPr>
        <w:pStyle w:val="Heading"/>
      </w:pPr>
      <w:r>
        <w:rPr>
          <w:rtl w:val="0"/>
          <w:lang w:val="en-US"/>
        </w:rPr>
        <w:t>Items for Further Consideration and Development Post Approval of the Strategy</w:t>
      </w:r>
    </w:p>
    <w:p>
      <w:pPr>
        <w:pStyle w:val="Body A"/>
        <w:spacing w:after="0" w:line="240" w:lineRule="auto"/>
        <w:jc w:val="center"/>
        <w:rPr>
          <w:rFonts w:ascii="Calibri" w:cs="Calibri" w:hAnsi="Calibri" w:eastAsia="Calibri"/>
          <w:b w:val="1"/>
          <w:bCs w:val="1"/>
        </w:rPr>
      </w:pPr>
    </w:p>
    <w:tbl>
      <w:tblPr>
        <w:tblW w:w="12733" w:type="dxa"/>
        <w:jc w:val="center"/>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7950"/>
        <w:gridCol w:w="1970"/>
        <w:gridCol w:w="1076"/>
        <w:gridCol w:w="869"/>
        <w:gridCol w:w="868"/>
      </w:tblGrid>
      <w:tr>
        <w:tblPrEx>
          <w:shd w:val="clear" w:color="auto" w:fill="cad1d7"/>
        </w:tblPrEx>
        <w:trPr>
          <w:trHeight w:val="287" w:hRule="atLeast"/>
        </w:trPr>
        <w:tc>
          <w:tcPr>
            <w:tcW w:type="dxa" w:w="79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pPr>
            <w:r>
              <w:rPr>
                <w:rFonts w:ascii="Calibri" w:hAnsi="Calibri"/>
                <w:b w:val="1"/>
                <w:bCs w:val="1"/>
                <w:outline w:val="0"/>
                <w:color w:val="0070c0"/>
                <w:sz w:val="24"/>
                <w:szCs w:val="24"/>
                <w:u w:color="0070c0"/>
                <w:shd w:val="nil" w:color="auto" w:fill="auto"/>
                <w:rtl w:val="0"/>
                <w:lang w:val="en-US"/>
                <w14:textFill>
                  <w14:solidFill>
                    <w14:srgbClr w14:val="0070C0"/>
                  </w14:solidFill>
                </w14:textFill>
              </w:rPr>
              <w:t>Strategic Directions</w:t>
            </w:r>
          </w:p>
        </w:tc>
        <w:tc>
          <w:tcPr>
            <w:tcW w:type="dxa" w:w="1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pPr>
            <w:r>
              <w:rPr>
                <w:rFonts w:ascii="Calibri" w:hAnsi="Calibri"/>
                <w:b w:val="1"/>
                <w:bCs w:val="1"/>
                <w:outline w:val="0"/>
                <w:color w:val="0070c0"/>
                <w:sz w:val="16"/>
                <w:szCs w:val="16"/>
                <w:u w:color="0070c0"/>
                <w:shd w:val="nil" w:color="auto" w:fill="auto"/>
                <w:rtl w:val="0"/>
                <w:lang w:val="en-US"/>
                <w14:textFill>
                  <w14:solidFill>
                    <w14:srgbClr w14:val="0070C0"/>
                  </w14:solidFill>
                </w14:textFill>
              </w:rPr>
              <w:t>Responsibility</w:t>
            </w:r>
          </w:p>
        </w:tc>
        <w:tc>
          <w:tcPr>
            <w:tcW w:type="dxa" w:w="1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jc w:val="center"/>
            </w:pPr>
            <w:r>
              <w:rPr>
                <w:rFonts w:ascii="Calibri" w:hAnsi="Calibri"/>
                <w:b w:val="1"/>
                <w:bCs w:val="1"/>
                <w:outline w:val="0"/>
                <w:color w:val="ff0000"/>
                <w:sz w:val="16"/>
                <w:szCs w:val="16"/>
                <w:u w:color="ff0000"/>
                <w:shd w:val="nil" w:color="auto" w:fill="auto"/>
                <w:rtl w:val="0"/>
                <w:lang w:val="en-US"/>
                <w14:textFill>
                  <w14:solidFill>
                    <w14:srgbClr w14:val="FF0000"/>
                  </w14:solidFill>
                </w14:textFill>
              </w:rPr>
              <w:t>Year 1</w:t>
            </w:r>
          </w:p>
        </w:tc>
        <w:tc>
          <w:tcPr>
            <w:tcW w:type="dxa" w:w="8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jc w:val="center"/>
            </w:pPr>
            <w:r>
              <w:rPr>
                <w:rFonts w:ascii="Calibri" w:hAnsi="Calibri"/>
                <w:b w:val="1"/>
                <w:bCs w:val="1"/>
                <w:outline w:val="0"/>
                <w:color w:val="ff0000"/>
                <w:sz w:val="16"/>
                <w:szCs w:val="16"/>
                <w:u w:color="ff0000"/>
                <w:shd w:val="nil" w:color="auto" w:fill="auto"/>
                <w:rtl w:val="0"/>
                <w:lang w:val="en-US"/>
                <w14:textFill>
                  <w14:solidFill>
                    <w14:srgbClr w14:val="FF0000"/>
                  </w14:solidFill>
                </w14:textFill>
              </w:rPr>
              <w:t>Year 2</w:t>
            </w:r>
          </w:p>
        </w:tc>
        <w:tc>
          <w:tcPr>
            <w:tcW w:type="dxa" w:w="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99"/>
            <w:tcMar>
              <w:top w:type="dxa" w:w="80"/>
              <w:left w:type="dxa" w:w="80"/>
              <w:bottom w:type="dxa" w:w="80"/>
              <w:right w:type="dxa" w:w="80"/>
            </w:tcMar>
            <w:vAlign w:val="top"/>
          </w:tcPr>
          <w:p>
            <w:pPr>
              <w:pStyle w:val="Body A"/>
              <w:jc w:val="center"/>
            </w:pPr>
            <w:r>
              <w:rPr>
                <w:rFonts w:ascii="Calibri" w:hAnsi="Calibri"/>
                <w:b w:val="1"/>
                <w:bCs w:val="1"/>
                <w:outline w:val="0"/>
                <w:color w:val="ff0000"/>
                <w:sz w:val="16"/>
                <w:szCs w:val="16"/>
                <w:u w:color="ff0000"/>
                <w:shd w:val="nil" w:color="auto" w:fill="auto"/>
                <w:rtl w:val="0"/>
                <w:lang w:val="en-US"/>
                <w14:textFill>
                  <w14:solidFill>
                    <w14:srgbClr w14:val="FF0000"/>
                  </w14:solidFill>
                </w14:textFill>
              </w:rPr>
              <w:t>Year 3</w:t>
            </w:r>
          </w:p>
        </w:tc>
      </w:tr>
      <w:tr>
        <w:tblPrEx>
          <w:shd w:val="clear" w:color="auto" w:fill="cad1d7"/>
        </w:tblPrEx>
        <w:trPr>
          <w:trHeight w:val="320" w:hRule="atLeast"/>
        </w:trPr>
        <w:tc>
          <w:tcPr>
            <w:tcW w:type="dxa" w:w="79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pPr>
            <w:r>
              <w:rPr>
                <w:rFonts w:ascii="Calibri" w:hAnsi="Calibri"/>
                <w:b w:val="1"/>
                <w:bCs w:val="1"/>
                <w:sz w:val="20"/>
                <w:szCs w:val="20"/>
                <w:shd w:val="nil" w:color="auto" w:fill="auto"/>
                <w:rtl w:val="0"/>
                <w:lang w:val="en-US"/>
              </w:rPr>
              <w:t>LOCAL DISCRETIONARY GRANTING COMMITTEES:</w:t>
            </w:r>
          </w:p>
        </w:tc>
        <w:tc>
          <w:tcPr>
            <w:tcW w:type="dxa" w:w="1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1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8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3163" w:hRule="atLeast"/>
        </w:trPr>
        <w:tc>
          <w:tcPr>
            <w:tcW w:type="dxa" w:w="79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1. Consider developing a plan to migrate from the committees noted above, to committees that are aligned with the local discretionary granting priorities (i.e., Early Childhood Literacy Committee, Education Committee, Food Security Committee, Mental Wellness Committee). Each of the new committees could strive to develop and implement the following elements: a strategic plan; fundraising to support initiatives addressing the priority issue; a granting subcommittee; community service opportunities and learning opportunities for Club members; a communications plan; convening and collaborative initiatives where possible. (Note that this is aspirational and may take several years based on Club member interest and support).</w:t>
            </w:r>
          </w:p>
        </w:tc>
        <w:tc>
          <w:tcPr>
            <w:tcW w:type="dxa" w:w="1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8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320" w:hRule="atLeast"/>
        </w:trPr>
        <w:tc>
          <w:tcPr>
            <w:tcW w:type="dxa" w:w="79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pPr>
              <w:pStyle w:val="Body A"/>
            </w:pPr>
            <w:r>
              <w:rPr>
                <w:rFonts w:ascii="Calibri" w:hAnsi="Calibri"/>
                <w:b w:val="1"/>
                <w:bCs w:val="1"/>
                <w:sz w:val="20"/>
                <w:szCs w:val="20"/>
                <w:shd w:val="nil" w:color="auto" w:fill="auto"/>
                <w:rtl w:val="0"/>
                <w:lang w:val="en-US"/>
              </w:rPr>
              <w:t>HUMAN RESOURCES:</w:t>
            </w:r>
          </w:p>
        </w:tc>
        <w:tc>
          <w:tcPr>
            <w:tcW w:type="dxa" w:w="1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1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8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c>
          <w:tcPr>
            <w:tcW w:type="dxa" w:w="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c1e4f5"/>
            <w:tcMar>
              <w:top w:type="dxa" w:w="80"/>
              <w:left w:type="dxa" w:w="80"/>
              <w:bottom w:type="dxa" w:w="80"/>
              <w:right w:type="dxa" w:w="80"/>
            </w:tcMar>
            <w:vAlign w:val="top"/>
          </w:tcPr>
          <w:p/>
        </w:tc>
      </w:tr>
      <w:tr>
        <w:tblPrEx>
          <w:shd w:val="clear" w:color="auto" w:fill="cad1d7"/>
        </w:tblPrEx>
        <w:trPr>
          <w:trHeight w:val="926" w:hRule="atLeast"/>
        </w:trPr>
        <w:tc>
          <w:tcPr>
            <w:tcW w:type="dxa" w:w="79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1. Consider assessing the human resources required to support and grow RCCD</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 xml:space="preserve">s granting and community service programs and develop a plan to establish any needed paid and/or non-paid roles.  </w:t>
            </w:r>
          </w:p>
        </w:tc>
        <w:tc>
          <w:tcPr>
            <w:tcW w:type="dxa" w:w="1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8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926" w:hRule="atLeast"/>
        </w:trPr>
        <w:tc>
          <w:tcPr>
            <w:tcW w:type="dxa" w:w="79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2. Consider engaging professional, paid assistance to help develop a communication plan, and revise, update, and maintain RCCD</w:t>
            </w:r>
            <w:r>
              <w:rPr>
                <w:rFonts w:ascii="Calibri" w:hAnsi="Calibri" w:hint="default"/>
                <w:sz w:val="24"/>
                <w:szCs w:val="24"/>
                <w:shd w:val="nil" w:color="auto" w:fill="auto"/>
                <w:rtl w:val="0"/>
                <w:lang w:val="en-US"/>
              </w:rPr>
              <w:t>’</w:t>
            </w:r>
            <w:r>
              <w:rPr>
                <w:rFonts w:ascii="Calibri" w:hAnsi="Calibri"/>
                <w:sz w:val="24"/>
                <w:szCs w:val="24"/>
                <w:shd w:val="nil" w:color="auto" w:fill="auto"/>
                <w:rtl w:val="0"/>
                <w:lang w:val="en-US"/>
              </w:rPr>
              <w:t xml:space="preserve">s communications related to local discretionary grants. </w:t>
            </w:r>
          </w:p>
        </w:tc>
        <w:tc>
          <w:tcPr>
            <w:tcW w:type="dxa" w:w="1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8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ad1d7"/>
        </w:tblPrEx>
        <w:trPr>
          <w:trHeight w:val="926" w:hRule="atLeast"/>
        </w:trPr>
        <w:tc>
          <w:tcPr>
            <w:tcW w:type="dxa" w:w="79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hAnsi="Calibri"/>
                <w:sz w:val="24"/>
                <w:szCs w:val="24"/>
                <w:shd w:val="nil" w:color="auto" w:fill="auto"/>
                <w:rtl w:val="0"/>
                <w:lang w:val="en-US"/>
              </w:rPr>
              <w:t>3. Consider reviewing the current organizational structure to ensure resources are allocated with appropriate levels of accountability, responsibility, and authority to execute the Local Discretionary Granting Strategy.</w:t>
            </w:r>
          </w:p>
        </w:tc>
        <w:tc>
          <w:tcPr>
            <w:tcW w:type="dxa" w:w="19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8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pacing w:after="0" w:line="240" w:lineRule="auto"/>
        <w:ind w:left="324" w:hanging="324"/>
        <w:jc w:val="center"/>
      </w:pPr>
      <w:r>
        <w:rPr>
          <w:rFonts w:ascii="Calibri" w:cs="Calibri" w:hAnsi="Calibri" w:eastAsia="Calibri"/>
          <w:b w:val="1"/>
          <w:bCs w:val="1"/>
        </w:rPr>
      </w:r>
    </w:p>
    <w:sectPr>
      <w:headerReference w:type="default" r:id="rId4"/>
      <w:footerReference w:type="default" r:id="rId5"/>
      <w:pgSz w:w="15840" w:h="12240" w:orient="landscape"/>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Aptos">
    <w:charset w:val="00"/>
    <w:family w:val="roman"/>
    <w:pitch w:val="default"/>
  </w:font>
  <w:font w:name="Aptos Display">
    <w:charset w:val="00"/>
    <w:family w:val="roman"/>
    <w:pitch w:val="default"/>
  </w:font>
  <w:font w:name="Calibri">
    <w:charset w:val="00"/>
    <w:family w:val="roman"/>
    <w:pitch w:val="default"/>
  </w:font>
  <w:font w:name="Segoe U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fldChar w:fldCharType="begin" w:fldLock="0"/>
    </w:r>
    <w:r>
      <w:instrText xml:space="preserve"> PAGE </w:instrText>
    </w:r>
    <w:r>
      <w:rPr/>
      <w:fldChar w:fldCharType="separate" w:fldLock="0"/>
    </w:r>
    <w:r>
      <w:rPr/>
      <w:fldChar w:fldCharType="end" w:fldLock="0"/>
    </w:r>
  </w:p>
  <w:p>
    <w:pPr>
      <w:pStyle w:val="footer"/>
      <w:pBdr>
        <w:top w:val="single" w:color="000000" w:sz="4" w:space="0" w:shadow="0" w:frame="0"/>
        <w:left w:val="nil"/>
        <w:bottom w:val="nil"/>
        <w:right w:val="nil"/>
      </w:pBdr>
    </w:pPr>
    <w:r>
      <w:rPr>
        <w:rtl w:val="0"/>
        <w:lang w:val="en-US"/>
      </w:rPr>
      <w:t>RCCD Granting Strategy - Final approved document, reflecting Board approved changes July 17 2024</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7563853</wp:posOffset>
          </wp:positionH>
          <wp:positionV relativeFrom="page">
            <wp:posOffset>-1008453</wp:posOffset>
          </wp:positionV>
          <wp:extent cx="1708484" cy="607066"/>
          <wp:effectExtent l="0" t="0" r="0" b="0"/>
          <wp:wrapNone/>
          <wp:docPr id="1073741825" name="officeArt object" descr="A black background with blue text and yellow gear&#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black background with blue text and yellow gearDescription automatically generated" descr="A black background with blue text and yellow gearDescription automatically generated"/>
                  <pic:cNvPicPr>
                    <a:picLocks noChangeAspect="1"/>
                  </pic:cNvPicPr>
                </pic:nvPicPr>
                <pic:blipFill>
                  <a:blip r:embed="rId1">
                    <a:extLst/>
                  </a:blip>
                  <a:srcRect l="0" t="34261" r="0" b="0"/>
                  <a:stretch>
                    <a:fillRect/>
                  </a:stretch>
                </pic:blipFill>
                <pic:spPr>
                  <a:xfrm>
                    <a:off x="0" y="0"/>
                    <a:ext cx="1708484" cy="607066"/>
                  </a:xfrm>
                  <a:prstGeom prst="rect">
                    <a:avLst/>
                  </a:prstGeom>
                  <a:ln w="12700" cap="flat">
                    <a:noFill/>
                    <a:miter lim="400000"/>
                  </a:ln>
                  <a:effectLst/>
                </pic:spPr>
              </pic:pic>
            </a:graphicData>
          </a:graphic>
        </wp:anchor>
      </w:drawing>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35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7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79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1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3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5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7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39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1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tabs>
          <w:tab w:val="left" w:pos="720"/>
        </w:tabs>
        <w:ind w:left="35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s>
        <w:ind w:left="107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179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51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s>
        <w:ind w:left="323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395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467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s>
        <w:ind w:left="539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11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en-US"/>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en-US"/>
      <w14:textFill>
        <w14:solidFill>
          <w14:srgbClr w14:val="000000"/>
        </w14:solidFill>
      </w14:textFill>
    </w:rPr>
  </w:style>
  <w:style w:type="paragraph" w:styleId="Title">
    <w:name w:val="Title"/>
    <w:next w:val="Body A"/>
    <w:pPr>
      <w:keepNext w:val="0"/>
      <w:keepLines w:val="0"/>
      <w:pageBreakBefore w:val="0"/>
      <w:widowControl w:val="1"/>
      <w:shd w:val="clear" w:color="auto" w:fill="auto"/>
      <w:suppressAutoHyphens w:val="0"/>
      <w:bidi w:val="0"/>
      <w:spacing w:before="0" w:after="80" w:line="259" w:lineRule="auto"/>
      <w:ind w:left="0" w:right="0" w:firstLine="0"/>
      <w:jc w:val="left"/>
      <w:outlineLvl w:val="9"/>
    </w:pPr>
    <w:rPr>
      <w:rFonts w:ascii="Aptos Display" w:cs="Aptos Display" w:hAnsi="Aptos Display" w:eastAsia="Aptos Display"/>
      <w:b w:val="0"/>
      <w:bCs w:val="0"/>
      <w:i w:val="0"/>
      <w:iCs w:val="0"/>
      <w:caps w:val="0"/>
      <w:smallCaps w:val="0"/>
      <w:strike w:val="0"/>
      <w:dstrike w:val="0"/>
      <w:outline w:val="0"/>
      <w:color w:val="000000"/>
      <w:spacing w:val="-10"/>
      <w:kern w:val="28"/>
      <w:position w:val="0"/>
      <w:sz w:val="56"/>
      <w:szCs w:val="5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Heading">
    <w:name w:val="Heading"/>
    <w:next w:val="Body A"/>
    <w:pPr>
      <w:keepNext w:val="1"/>
      <w:keepLines w:val="1"/>
      <w:pageBreakBefore w:val="0"/>
      <w:widowControl w:val="1"/>
      <w:shd w:val="clear" w:color="auto" w:fill="auto"/>
      <w:suppressAutoHyphens w:val="0"/>
      <w:bidi w:val="0"/>
      <w:spacing w:before="360" w:after="80" w:line="259" w:lineRule="auto"/>
      <w:ind w:left="0" w:right="0" w:firstLine="0"/>
      <w:jc w:val="left"/>
      <w:outlineLvl w:val="0"/>
    </w:pPr>
    <w:rPr>
      <w:rFonts w:ascii="Aptos Display" w:cs="Aptos Display" w:hAnsi="Aptos Display" w:eastAsia="Aptos Display"/>
      <w:b w:val="0"/>
      <w:bCs w:val="0"/>
      <w:i w:val="0"/>
      <w:iCs w:val="0"/>
      <w:caps w:val="0"/>
      <w:smallCaps w:val="0"/>
      <w:strike w:val="0"/>
      <w:dstrike w:val="0"/>
      <w:outline w:val="0"/>
      <w:color w:val="0f4761"/>
      <w:spacing w:val="0"/>
      <w:kern w:val="2"/>
      <w:position w:val="0"/>
      <w:sz w:val="40"/>
      <w:szCs w:val="40"/>
      <w:u w:val="none" w:color="0f4761"/>
      <w:shd w:val="nil" w:color="auto" w:fill="auto"/>
      <w:vertAlign w:val="baseline"/>
      <w:lang w:val="en-US"/>
      <w14:textOutline w14:w="12700" w14:cap="flat">
        <w14:noFill/>
        <w14:miter w14:lim="400000"/>
      </w14:textOutline>
      <w14:textFill>
        <w14:solidFill>
          <w14:srgbClr w14:val="0F4761"/>
        </w14:solidFill>
      </w14:textFill>
    </w:rPr>
  </w:style>
  <w:style w:type="paragraph" w:styleId="Heading 2">
    <w:name w:val="Heading 2"/>
    <w:next w:val="Body A"/>
    <w:pPr>
      <w:keepNext w:val="1"/>
      <w:keepLines w:val="1"/>
      <w:pageBreakBefore w:val="0"/>
      <w:widowControl w:val="1"/>
      <w:shd w:val="clear" w:color="auto" w:fill="auto"/>
      <w:suppressAutoHyphens w:val="0"/>
      <w:bidi w:val="0"/>
      <w:spacing w:before="160" w:after="80" w:line="259" w:lineRule="auto"/>
      <w:ind w:left="0" w:right="0" w:firstLine="0"/>
      <w:jc w:val="left"/>
      <w:outlineLvl w:val="1"/>
    </w:pPr>
    <w:rPr>
      <w:rFonts w:ascii="Aptos Display" w:cs="Aptos Display" w:hAnsi="Aptos Display" w:eastAsia="Aptos Display"/>
      <w:b w:val="0"/>
      <w:bCs w:val="0"/>
      <w:i w:val="0"/>
      <w:iCs w:val="0"/>
      <w:caps w:val="0"/>
      <w:smallCaps w:val="0"/>
      <w:strike w:val="0"/>
      <w:dstrike w:val="0"/>
      <w:outline w:val="0"/>
      <w:color w:val="0f4761"/>
      <w:spacing w:val="0"/>
      <w:kern w:val="2"/>
      <w:position w:val="0"/>
      <w:sz w:val="32"/>
      <w:szCs w:val="32"/>
      <w:u w:val="none" w:color="0f4761"/>
      <w:shd w:val="nil" w:color="auto" w:fill="auto"/>
      <w:vertAlign w:val="baseline"/>
      <w:lang w:val="en-US"/>
      <w14:textOutline w14:w="12700" w14:cap="flat">
        <w14:noFill/>
        <w14:miter w14:lim="400000"/>
      </w14:textOutline>
      <w14:textFill>
        <w14:solidFill>
          <w14:srgbClr w14:val="0F4761"/>
        </w14:solidFill>
      </w14:textFill>
    </w:rPr>
  </w:style>
  <w:style w:type="paragraph" w:styleId="paragraph">
    <w:name w:val="paragraph"/>
    <w:next w:val="paragraph"/>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paragraph" w:styleId="Subtitle">
    <w:name w:val="Subtitle"/>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Aptos" w:cs="Aptos" w:hAnsi="Aptos" w:eastAsia="Aptos"/>
      <w:b w:val="0"/>
      <w:bCs w:val="0"/>
      <w:i w:val="0"/>
      <w:iCs w:val="0"/>
      <w:caps w:val="0"/>
      <w:smallCaps w:val="0"/>
      <w:strike w:val="0"/>
      <w:dstrike w:val="0"/>
      <w:outline w:val="0"/>
      <w:color w:val="595959"/>
      <w:spacing w:val="15"/>
      <w:kern w:val="2"/>
      <w:position w:val="0"/>
      <w:sz w:val="28"/>
      <w:szCs w:val="28"/>
      <w:u w:val="none" w:color="595959"/>
      <w:shd w:val="nil" w:color="auto" w:fill="auto"/>
      <w:vertAlign w:val="baseline"/>
      <w:lang w:val="en-US"/>
      <w14:textOutline w14:w="12700" w14:cap="flat">
        <w14:noFill/>
        <w14:miter w14:lim="400000"/>
      </w14:textOutline>
      <w14:textFill>
        <w14:solidFill>
          <w14:srgbClr w14:val="595959"/>
        </w14:solidFill>
      </w14:textFill>
    </w:rPr>
  </w:style>
  <w:style w:type="numbering" w:styleId="Imported Style 3">
    <w:name w:val="Imported Style 3"/>
    <w:pPr>
      <w:numPr>
        <w:numId w:val="5"/>
      </w:numPr>
    </w:pPr>
  </w:style>
  <w:style w:type="numbering" w:styleId="Imported Style 4">
    <w:name w:val="Imported Style 4"/>
    <w:pPr>
      <w:numPr>
        <w:numId w:val="7"/>
      </w:numPr>
    </w:pPr>
  </w:style>
  <w:style w:type="paragraph" w:styleId="li1">
    <w:name w:val="li1"/>
    <w:next w:val="li1"/>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Aptos Display"/>
        <a:ea typeface="Aptos Display"/>
        <a:cs typeface="Aptos Display"/>
      </a:majorFont>
      <a:minorFont>
        <a:latin typeface="Aptos"/>
        <a:ea typeface="Aptos"/>
        <a:cs typeface="Apto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