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15" w:rsidRDefault="00A065E1">
      <w:pPr>
        <w:tabs>
          <w:tab w:val="left" w:pos="5284"/>
        </w:tabs>
        <w:ind w:left="159"/>
        <w:rPr>
          <w:rFonts w:ascii="Times New Roman"/>
          <w:sz w:val="20"/>
        </w:rPr>
      </w:pPr>
      <w:r>
        <w:rPr>
          <w:rFonts w:ascii="Times New Roman"/>
          <w:noProof/>
          <w:position w:val="36"/>
          <w:sz w:val="20"/>
          <w:lang w:val="en-AU" w:eastAsia="en-AU"/>
        </w:rPr>
        <w:drawing>
          <wp:inline distT="0" distB="0" distL="0" distR="0">
            <wp:extent cx="2398380" cy="609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98380" cy="609600"/>
                    </a:xfrm>
                    <a:prstGeom prst="rect">
                      <a:avLst/>
                    </a:prstGeom>
                  </pic:spPr>
                </pic:pic>
              </a:graphicData>
            </a:graphic>
          </wp:inline>
        </w:drawing>
      </w:r>
      <w:r>
        <w:rPr>
          <w:rFonts w:ascii="Times New Roman"/>
          <w:position w:val="36"/>
          <w:sz w:val="20"/>
        </w:rPr>
        <w:tab/>
      </w:r>
      <w:r>
        <w:rPr>
          <w:rFonts w:ascii="Times New Roman"/>
          <w:noProof/>
          <w:sz w:val="20"/>
          <w:lang w:val="en-AU" w:eastAsia="en-AU"/>
        </w:rPr>
        <mc:AlternateContent>
          <mc:Choice Requires="wpg">
            <w:drawing>
              <wp:inline distT="0" distB="0" distL="0" distR="0">
                <wp:extent cx="2749550" cy="1005840"/>
                <wp:effectExtent l="5715" t="0" r="0"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1005840"/>
                          <a:chOff x="0" y="0"/>
                          <a:chExt cx="4330" cy="1584"/>
                        </a:xfrm>
                      </wpg:grpSpPr>
                      <pic:pic xmlns:pic="http://schemas.openxmlformats.org/drawingml/2006/picture">
                        <pic:nvPicPr>
                          <pic:cNvPr id="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0" y="0"/>
                            <a:ext cx="4330"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D15" w:rsidRDefault="00A065E1">
                              <w:pPr>
                                <w:spacing w:before="84" w:line="243" w:lineRule="exact"/>
                                <w:ind w:right="1"/>
                                <w:jc w:val="center"/>
                                <w:rPr>
                                  <w:rFonts w:ascii="Verdana"/>
                                  <w:sz w:val="20"/>
                                </w:rPr>
                              </w:pPr>
                              <w:r>
                                <w:rPr>
                                  <w:rFonts w:ascii="Verdana"/>
                                  <w:sz w:val="20"/>
                                </w:rPr>
                                <w:t>Rotary International District 9685 Inc.</w:t>
                              </w:r>
                            </w:p>
                            <w:p w:rsidR="007D3D15" w:rsidRDefault="00A065E1">
                              <w:pPr>
                                <w:spacing w:line="243" w:lineRule="exact"/>
                                <w:ind w:right="1"/>
                                <w:jc w:val="center"/>
                                <w:rPr>
                                  <w:rFonts w:ascii="Verdana"/>
                                  <w:sz w:val="20"/>
                                </w:rPr>
                              </w:pPr>
                              <w:r>
                                <w:rPr>
                                  <w:rFonts w:ascii="Verdana"/>
                                  <w:sz w:val="20"/>
                                </w:rPr>
                                <w:t>ABN 21 256 468 211</w:t>
                              </w:r>
                            </w:p>
                            <w:p w:rsidR="007D3D15" w:rsidRDefault="007D3D15">
                              <w:pPr>
                                <w:spacing w:before="10"/>
                                <w:rPr>
                                  <w:rFonts w:ascii="Verdana"/>
                                  <w:sz w:val="17"/>
                                </w:rPr>
                              </w:pPr>
                            </w:p>
                            <w:p w:rsidR="007D3D15" w:rsidRDefault="00A065E1">
                              <w:pPr>
                                <w:spacing w:line="219" w:lineRule="exact"/>
                                <w:jc w:val="center"/>
                                <w:rPr>
                                  <w:rFonts w:ascii="Verdana"/>
                                  <w:sz w:val="18"/>
                                </w:rPr>
                              </w:pPr>
                              <w:r>
                                <w:rPr>
                                  <w:rFonts w:ascii="Times New Roman"/>
                                  <w:sz w:val="18"/>
                                  <w:u w:val="single"/>
                                </w:rPr>
                                <w:t xml:space="preserve"> </w:t>
                              </w:r>
                              <w:r>
                                <w:rPr>
                                  <w:rFonts w:ascii="Verdana"/>
                                  <w:sz w:val="18"/>
                                  <w:u w:val="single"/>
                                </w:rPr>
                                <w:t>District Treasurer 2018-19: David Hart</w:t>
                              </w:r>
                            </w:p>
                            <w:p w:rsidR="007D3D15" w:rsidRDefault="00A065E1">
                              <w:pPr>
                                <w:spacing w:line="242" w:lineRule="auto"/>
                                <w:ind w:left="916" w:right="917"/>
                                <w:jc w:val="center"/>
                                <w:rPr>
                                  <w:rFonts w:ascii="Verdana"/>
                                  <w:sz w:val="18"/>
                                </w:rPr>
                              </w:pPr>
                              <w:r>
                                <w:rPr>
                                  <w:rFonts w:ascii="Times New Roman"/>
                                  <w:color w:val="0562C1"/>
                                  <w:sz w:val="18"/>
                                  <w:u w:val="single" w:color="0562C1"/>
                                </w:rPr>
                                <w:t xml:space="preserve"> </w:t>
                              </w:r>
                              <w:hyperlink r:id="rId8">
                                <w:r>
                                  <w:rPr>
                                    <w:rFonts w:ascii="Verdana"/>
                                    <w:color w:val="0562C1"/>
                                    <w:sz w:val="18"/>
                                    <w:u w:val="single" w:color="0562C1"/>
                                  </w:rPr>
                                  <w:t>dhart13@dghcoms.com.au</w:t>
                                </w:r>
                              </w:hyperlink>
                              <w:r>
                                <w:rPr>
                                  <w:rFonts w:ascii="Verdana"/>
                                  <w:color w:val="0562C1"/>
                                  <w:sz w:val="18"/>
                                </w:rPr>
                                <w:t xml:space="preserve"> </w:t>
                              </w:r>
                              <w:r>
                                <w:rPr>
                                  <w:rFonts w:ascii="Verdana"/>
                                  <w:sz w:val="18"/>
                                </w:rPr>
                                <w:t>0408 026 832</w:t>
                              </w:r>
                            </w:p>
                          </w:txbxContent>
                        </wps:txbx>
                        <wps:bodyPr rot="0" vert="horz" wrap="square" lIns="0" tIns="0" rIns="0" bIns="0" anchor="t" anchorCtr="0" upright="1">
                          <a:noAutofit/>
                        </wps:bodyPr>
                      </wps:wsp>
                    </wpg:wgp>
                  </a:graphicData>
                </a:graphic>
              </wp:inline>
            </w:drawing>
          </mc:Choice>
          <mc:Fallback>
            <w:pict>
              <v:group id="Group 3" o:spid="_x0000_s1026" style="width:216.5pt;height:79.2pt;mso-position-horizontal-relative:char;mso-position-vertical-relative:line" coordsize="4330,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330;height:1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dAjjCAAAA2gAAAA8AAABkcnMvZG93bnJldi54bWxEj0FrAjEUhO9C/0N4BW+arW1t3RpFKgU9&#10;qoVeXzfP3dDNy5I8dfvvG6HgcZiZb5j5svetOlNMLrCBh3EBirgK1nFt4PPwMXoFlQTZYhuYDPxS&#10;guXibjDH0oYL7+i8l1plCKcSDTQiXal1qhrymMahI87eMUSPkmWstY14yXDf6klRTLVHx3mhwY7e&#10;G6p+9idvYCaz9bdr4/bo5PC4k9X262X6bMzwvl+9gRLq5Rb+b2+sgSe4Xsk3Q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3QI4wgAAANo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4" o:spid="_x0000_s1028" type="#_x0000_t202" style="position:absolute;width:4330;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D3D15" w:rsidRDefault="00A065E1">
                        <w:pPr>
                          <w:spacing w:before="84" w:line="243" w:lineRule="exact"/>
                          <w:ind w:right="1"/>
                          <w:jc w:val="center"/>
                          <w:rPr>
                            <w:rFonts w:ascii="Verdana"/>
                            <w:sz w:val="20"/>
                          </w:rPr>
                        </w:pPr>
                        <w:r>
                          <w:rPr>
                            <w:rFonts w:ascii="Verdana"/>
                            <w:sz w:val="20"/>
                          </w:rPr>
                          <w:t>Rotary International District 9685 Inc.</w:t>
                        </w:r>
                      </w:p>
                      <w:p w:rsidR="007D3D15" w:rsidRDefault="00A065E1">
                        <w:pPr>
                          <w:spacing w:line="243" w:lineRule="exact"/>
                          <w:ind w:right="1"/>
                          <w:jc w:val="center"/>
                          <w:rPr>
                            <w:rFonts w:ascii="Verdana"/>
                            <w:sz w:val="20"/>
                          </w:rPr>
                        </w:pPr>
                        <w:r>
                          <w:rPr>
                            <w:rFonts w:ascii="Verdana"/>
                            <w:sz w:val="20"/>
                          </w:rPr>
                          <w:t>ABN 21 256 468 211</w:t>
                        </w:r>
                      </w:p>
                      <w:p w:rsidR="007D3D15" w:rsidRDefault="007D3D15">
                        <w:pPr>
                          <w:spacing w:before="10"/>
                          <w:rPr>
                            <w:rFonts w:ascii="Verdana"/>
                            <w:sz w:val="17"/>
                          </w:rPr>
                        </w:pPr>
                      </w:p>
                      <w:p w:rsidR="007D3D15" w:rsidRDefault="00A065E1">
                        <w:pPr>
                          <w:spacing w:line="219" w:lineRule="exact"/>
                          <w:jc w:val="center"/>
                          <w:rPr>
                            <w:rFonts w:ascii="Verdana"/>
                            <w:sz w:val="18"/>
                          </w:rPr>
                        </w:pPr>
                        <w:r>
                          <w:rPr>
                            <w:rFonts w:ascii="Times New Roman"/>
                            <w:sz w:val="18"/>
                            <w:u w:val="single"/>
                          </w:rPr>
                          <w:t xml:space="preserve"> </w:t>
                        </w:r>
                        <w:r>
                          <w:rPr>
                            <w:rFonts w:ascii="Verdana"/>
                            <w:sz w:val="18"/>
                            <w:u w:val="single"/>
                          </w:rPr>
                          <w:t>District Treasurer 2018-19: David Hart</w:t>
                        </w:r>
                      </w:p>
                      <w:p w:rsidR="007D3D15" w:rsidRDefault="00A065E1">
                        <w:pPr>
                          <w:spacing w:line="242" w:lineRule="auto"/>
                          <w:ind w:left="916" w:right="917"/>
                          <w:jc w:val="center"/>
                          <w:rPr>
                            <w:rFonts w:ascii="Verdana"/>
                            <w:sz w:val="18"/>
                          </w:rPr>
                        </w:pPr>
                        <w:r>
                          <w:rPr>
                            <w:rFonts w:ascii="Times New Roman"/>
                            <w:color w:val="0562C1"/>
                            <w:sz w:val="18"/>
                            <w:u w:val="single" w:color="0562C1"/>
                          </w:rPr>
                          <w:t xml:space="preserve"> </w:t>
                        </w:r>
                        <w:hyperlink r:id="rId10">
                          <w:r>
                            <w:rPr>
                              <w:rFonts w:ascii="Verdana"/>
                              <w:color w:val="0562C1"/>
                              <w:sz w:val="18"/>
                              <w:u w:val="single" w:color="0562C1"/>
                            </w:rPr>
                            <w:t>dhart13@dghcoms.com.au</w:t>
                          </w:r>
                        </w:hyperlink>
                        <w:r>
                          <w:rPr>
                            <w:rFonts w:ascii="Verdana"/>
                            <w:color w:val="0562C1"/>
                            <w:sz w:val="18"/>
                          </w:rPr>
                          <w:t xml:space="preserve"> </w:t>
                        </w:r>
                        <w:r>
                          <w:rPr>
                            <w:rFonts w:ascii="Verdana"/>
                            <w:sz w:val="18"/>
                          </w:rPr>
                          <w:t>0408 026 832</w:t>
                        </w:r>
                      </w:p>
                    </w:txbxContent>
                  </v:textbox>
                </v:shape>
                <w10:anchorlock/>
              </v:group>
            </w:pict>
          </mc:Fallback>
        </mc:AlternateContent>
      </w:r>
    </w:p>
    <w:p w:rsidR="007D3D15" w:rsidRDefault="007D3D15">
      <w:pPr>
        <w:pStyle w:val="BodyText"/>
        <w:spacing w:before="3"/>
        <w:rPr>
          <w:rFonts w:ascii="Times New Roman"/>
          <w:sz w:val="23"/>
        </w:rPr>
      </w:pPr>
    </w:p>
    <w:p w:rsidR="007D3D15" w:rsidRDefault="00A065E1">
      <w:pPr>
        <w:pStyle w:val="BodyText"/>
        <w:spacing w:before="51"/>
        <w:ind w:right="596"/>
        <w:jc w:val="right"/>
      </w:pPr>
      <w:r>
        <w:t>28 September 2019</w:t>
      </w:r>
    </w:p>
    <w:p w:rsidR="007D3D15" w:rsidRDefault="007D3D15">
      <w:pPr>
        <w:pStyle w:val="BodyText"/>
        <w:spacing w:before="2"/>
        <w:rPr>
          <w:sz w:val="17"/>
        </w:rPr>
      </w:pPr>
    </w:p>
    <w:p w:rsidR="007D3D15" w:rsidRPr="00BC2556" w:rsidRDefault="00A065E1">
      <w:pPr>
        <w:pStyle w:val="Title"/>
        <w:rPr>
          <w:u w:val="none"/>
        </w:rPr>
      </w:pPr>
      <w:r>
        <w:rPr>
          <w:rFonts w:ascii="Times New Roman"/>
          <w:b w:val="0"/>
          <w:spacing w:val="-71"/>
          <w:u w:val="none"/>
        </w:rPr>
        <w:t xml:space="preserve"> </w:t>
      </w:r>
      <w:r w:rsidRPr="00BC2556">
        <w:rPr>
          <w:u w:val="none"/>
        </w:rPr>
        <w:t>Managing Rotary Club Accounts</w:t>
      </w:r>
    </w:p>
    <w:p w:rsidR="007D3D15" w:rsidRPr="00BC2556" w:rsidRDefault="007D3D15">
      <w:pPr>
        <w:pStyle w:val="BodyText"/>
        <w:rPr>
          <w:b/>
          <w:sz w:val="21"/>
        </w:rPr>
      </w:pPr>
    </w:p>
    <w:p w:rsidR="007D3D15" w:rsidRPr="00BC2556" w:rsidRDefault="00A065E1">
      <w:pPr>
        <w:pStyle w:val="Heading1"/>
        <w:spacing w:before="85"/>
        <w:ind w:left="870" w:firstLine="0"/>
        <w:rPr>
          <w:u w:val="none"/>
        </w:rPr>
      </w:pPr>
      <w:r w:rsidRPr="00BC2556">
        <w:rPr>
          <w:rFonts w:ascii="Times New Roman"/>
          <w:b w:val="0"/>
          <w:spacing w:val="-60"/>
          <w:u w:val="none"/>
        </w:rPr>
        <w:t xml:space="preserve"> </w:t>
      </w:r>
      <w:r w:rsidRPr="00BC2556">
        <w:rPr>
          <w:u w:val="none"/>
        </w:rPr>
        <w:t>Club/Administration v Service/Charitable Account Management Guidelines</w:t>
      </w:r>
    </w:p>
    <w:p w:rsidR="007D3D15" w:rsidRDefault="007D3D15">
      <w:pPr>
        <w:pStyle w:val="BodyText"/>
        <w:spacing w:before="9"/>
        <w:rPr>
          <w:b/>
          <w:sz w:val="19"/>
        </w:rPr>
      </w:pPr>
    </w:p>
    <w:p w:rsidR="007D3D15" w:rsidRDefault="00A065E1">
      <w:pPr>
        <w:pStyle w:val="BodyText"/>
        <w:spacing w:before="52"/>
        <w:ind w:left="100" w:right="596"/>
        <w:jc w:val="both"/>
      </w:pPr>
      <w:r>
        <w:t>These guidelines have been prepared to assist clubs when making decisions to allocate income and expenses to the club/administration account or the service/charitable account. Clubs</w:t>
      </w:r>
      <w:r>
        <w:rPr>
          <w:spacing w:val="-3"/>
        </w:rPr>
        <w:t xml:space="preserve"> </w:t>
      </w:r>
      <w:r>
        <w:t>use</w:t>
      </w:r>
      <w:r>
        <w:rPr>
          <w:spacing w:val="-5"/>
        </w:rPr>
        <w:t xml:space="preserve"> </w:t>
      </w:r>
      <w:r>
        <w:t>different</w:t>
      </w:r>
      <w:r>
        <w:rPr>
          <w:spacing w:val="-7"/>
        </w:rPr>
        <w:t xml:space="preserve"> </w:t>
      </w:r>
      <w:r>
        <w:t>terminology</w:t>
      </w:r>
      <w:r>
        <w:rPr>
          <w:spacing w:val="-8"/>
        </w:rPr>
        <w:t xml:space="preserve"> </w:t>
      </w:r>
      <w:r>
        <w:t>for</w:t>
      </w:r>
      <w:r>
        <w:rPr>
          <w:spacing w:val="-4"/>
        </w:rPr>
        <w:t xml:space="preserve"> </w:t>
      </w:r>
      <w:r>
        <w:t>these</w:t>
      </w:r>
      <w:r>
        <w:rPr>
          <w:spacing w:val="-5"/>
        </w:rPr>
        <w:t xml:space="preserve"> </w:t>
      </w:r>
      <w:r>
        <w:t>accounts.</w:t>
      </w:r>
      <w:r>
        <w:rPr>
          <w:spacing w:val="-5"/>
        </w:rPr>
        <w:t xml:space="preserve"> </w:t>
      </w:r>
      <w:r>
        <w:t>In</w:t>
      </w:r>
      <w:r>
        <w:rPr>
          <w:spacing w:val="-3"/>
        </w:rPr>
        <w:t xml:space="preserve"> </w:t>
      </w:r>
      <w:r>
        <w:t>the</w:t>
      </w:r>
      <w:r>
        <w:rPr>
          <w:spacing w:val="-4"/>
        </w:rPr>
        <w:t xml:space="preserve"> </w:t>
      </w:r>
      <w:r>
        <w:t>remainder</w:t>
      </w:r>
      <w:r>
        <w:rPr>
          <w:spacing w:val="-3"/>
        </w:rPr>
        <w:t xml:space="preserve"> </w:t>
      </w:r>
      <w:r>
        <w:t>of</w:t>
      </w:r>
      <w:r>
        <w:rPr>
          <w:spacing w:val="-6"/>
        </w:rPr>
        <w:t xml:space="preserve"> </w:t>
      </w:r>
      <w:r>
        <w:t>these</w:t>
      </w:r>
      <w:r>
        <w:rPr>
          <w:spacing w:val="-1"/>
        </w:rPr>
        <w:t xml:space="preserve"> </w:t>
      </w:r>
      <w:r>
        <w:t>gu</w:t>
      </w:r>
      <w:r>
        <w:t>idelines</w:t>
      </w:r>
      <w:r>
        <w:rPr>
          <w:spacing w:val="-4"/>
        </w:rPr>
        <w:t xml:space="preserve"> </w:t>
      </w:r>
      <w:r>
        <w:t>they will be referred to as the Administration Account and the Service Account</w:t>
      </w:r>
      <w:r>
        <w:rPr>
          <w:spacing w:val="-15"/>
        </w:rPr>
        <w:t xml:space="preserve"> </w:t>
      </w:r>
      <w:r>
        <w:t>respectively.</w:t>
      </w:r>
    </w:p>
    <w:p w:rsidR="007D3D15" w:rsidRDefault="007D3D15">
      <w:pPr>
        <w:pStyle w:val="BodyText"/>
        <w:spacing w:before="11"/>
        <w:rPr>
          <w:sz w:val="23"/>
        </w:rPr>
      </w:pPr>
    </w:p>
    <w:p w:rsidR="007D3D15" w:rsidRDefault="00A065E1">
      <w:pPr>
        <w:pStyle w:val="BodyText"/>
        <w:spacing w:line="242" w:lineRule="auto"/>
        <w:ind w:left="100" w:right="596"/>
        <w:jc w:val="both"/>
      </w:pPr>
      <w:r>
        <w:t>It is not possible to set guidelines for all situations. Clubs should make decisions in the spirit of these guidelines. Clubs may also contact the Distri</w:t>
      </w:r>
      <w:r>
        <w:t>ct Treasurer to discuss their situation.</w:t>
      </w:r>
    </w:p>
    <w:p w:rsidR="007D3D15" w:rsidRDefault="007D3D15">
      <w:pPr>
        <w:pStyle w:val="BodyText"/>
        <w:spacing w:before="8"/>
        <w:rPr>
          <w:sz w:val="23"/>
        </w:rPr>
      </w:pPr>
    </w:p>
    <w:p w:rsidR="007D3D15" w:rsidRPr="00BC2556" w:rsidRDefault="00A065E1" w:rsidP="00BC2556">
      <w:pPr>
        <w:pStyle w:val="Heading1"/>
        <w:numPr>
          <w:ilvl w:val="0"/>
          <w:numId w:val="4"/>
        </w:numPr>
        <w:tabs>
          <w:tab w:val="left" w:pos="819"/>
          <w:tab w:val="left" w:pos="820"/>
        </w:tabs>
        <w:spacing w:before="1"/>
        <w:rPr>
          <w:u w:val="none"/>
        </w:rPr>
      </w:pPr>
      <w:r w:rsidRPr="00BC2556">
        <w:rPr>
          <w:u w:val="none"/>
        </w:rPr>
        <w:t>Rotary and Legislative</w:t>
      </w:r>
      <w:r w:rsidRPr="00BC2556">
        <w:rPr>
          <w:spacing w:val="-3"/>
          <w:u w:val="none"/>
        </w:rPr>
        <w:t xml:space="preserve"> </w:t>
      </w:r>
      <w:r w:rsidRPr="00BC2556">
        <w:rPr>
          <w:u w:val="none"/>
        </w:rPr>
        <w:t>Requirements</w:t>
      </w:r>
    </w:p>
    <w:p w:rsidR="007D3D15" w:rsidRDefault="007D3D15">
      <w:pPr>
        <w:pStyle w:val="BodyText"/>
        <w:spacing w:before="9"/>
        <w:rPr>
          <w:b/>
          <w:sz w:val="19"/>
        </w:rPr>
      </w:pPr>
    </w:p>
    <w:p w:rsidR="007D3D15" w:rsidRDefault="00A065E1">
      <w:pPr>
        <w:pStyle w:val="BodyText"/>
        <w:spacing w:before="51"/>
        <w:ind w:left="100" w:right="526"/>
      </w:pPr>
      <w:r>
        <w:t>Maintenance of complete, up to date, and accurate financial records and reporting as required by Rotary and legislation are assumed and are not the focus of these guidelines.</w:t>
      </w:r>
    </w:p>
    <w:p w:rsidR="007D3D15" w:rsidRDefault="007D3D15">
      <w:pPr>
        <w:pStyle w:val="BodyText"/>
      </w:pPr>
    </w:p>
    <w:p w:rsidR="007D3D15" w:rsidRDefault="00A065E1">
      <w:pPr>
        <w:pStyle w:val="BodyText"/>
        <w:ind w:left="383"/>
      </w:pPr>
      <w:r>
        <w:rPr>
          <w:rFonts w:ascii="Times New Roman"/>
          <w:spacing w:val="-60"/>
          <w:u w:val="single"/>
        </w:rPr>
        <w:t xml:space="preserve"> </w:t>
      </w:r>
      <w:r>
        <w:rPr>
          <w:u w:val="single"/>
        </w:rPr>
        <w:t>Standard Club By-laws</w:t>
      </w:r>
    </w:p>
    <w:p w:rsidR="007D3D15" w:rsidRDefault="00A065E1">
      <w:pPr>
        <w:pStyle w:val="BodyText"/>
        <w:ind w:left="383"/>
      </w:pPr>
      <w:r>
        <w:t>Standard club by-laws article 11(2)(a) states</w:t>
      </w:r>
    </w:p>
    <w:p w:rsidR="007D3D15" w:rsidRDefault="00A065E1">
      <w:pPr>
        <w:ind w:left="666" w:right="526"/>
        <w:rPr>
          <w:i/>
          <w:sz w:val="24"/>
        </w:rPr>
      </w:pPr>
      <w:r>
        <w:rPr>
          <w:i/>
          <w:sz w:val="24"/>
        </w:rPr>
        <w:t>The Treasurer shall deposit all Club funds in a bank named by the Board. The Club funds shall be divided into two separate parts: club operations and service projects.</w:t>
      </w:r>
    </w:p>
    <w:p w:rsidR="007D3D15" w:rsidRDefault="007D3D15">
      <w:pPr>
        <w:pStyle w:val="BodyText"/>
        <w:spacing w:before="11"/>
        <w:rPr>
          <w:i/>
          <w:sz w:val="23"/>
        </w:rPr>
      </w:pPr>
    </w:p>
    <w:p w:rsidR="007D3D15" w:rsidRDefault="00A065E1">
      <w:pPr>
        <w:pStyle w:val="BodyText"/>
        <w:ind w:left="383"/>
      </w:pPr>
      <w:r>
        <w:rPr>
          <w:rFonts w:ascii="Times New Roman"/>
          <w:spacing w:val="-60"/>
          <w:u w:val="single"/>
        </w:rPr>
        <w:t xml:space="preserve"> </w:t>
      </w:r>
      <w:r>
        <w:rPr>
          <w:u w:val="single"/>
        </w:rPr>
        <w:t>Rotary Brand</w:t>
      </w:r>
    </w:p>
    <w:p w:rsidR="007D3D15" w:rsidRDefault="00A065E1">
      <w:pPr>
        <w:pStyle w:val="BodyText"/>
        <w:ind w:left="383" w:right="594"/>
        <w:jc w:val="both"/>
      </w:pPr>
      <w:r>
        <w:rPr>
          <w:noProof/>
          <w:lang w:val="en-AU" w:eastAsia="en-AU"/>
        </w:rPr>
        <mc:AlternateContent>
          <mc:Choice Requires="wps">
            <w:drawing>
              <wp:anchor distT="0" distB="0" distL="114300" distR="114300" simplePos="0" relativeHeight="487515136" behindDoc="1" locked="0" layoutInCell="1" allowOverlap="1">
                <wp:simplePos x="0" y="0"/>
                <wp:positionH relativeFrom="page">
                  <wp:posOffset>5445125</wp:posOffset>
                </wp:positionH>
                <wp:positionV relativeFrom="paragraph">
                  <wp:posOffset>480695</wp:posOffset>
                </wp:positionV>
                <wp:extent cx="45720" cy="107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8.75pt;margin-top:37.85pt;width:3.6pt;height:.85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" fillcolor="black" stroked="f">
                <w10:wrap anchorx="page"/>
              </v:rect>
            </w:pict>
          </mc:Fallback>
        </mc:AlternateContent>
      </w:r>
      <w:r>
        <w:t>Rotary</w:t>
      </w:r>
      <w:r>
        <w:rPr>
          <w:spacing w:val="-13"/>
        </w:rPr>
        <w:t xml:space="preserve"> </w:t>
      </w:r>
      <w:r>
        <w:t>is</w:t>
      </w:r>
      <w:r>
        <w:rPr>
          <w:spacing w:val="-15"/>
        </w:rPr>
        <w:t xml:space="preserve"> </w:t>
      </w:r>
      <w:r>
        <w:t>known</w:t>
      </w:r>
      <w:r>
        <w:rPr>
          <w:spacing w:val="-14"/>
        </w:rPr>
        <w:t xml:space="preserve"> </w:t>
      </w:r>
      <w:r>
        <w:t>for</w:t>
      </w:r>
      <w:r>
        <w:rPr>
          <w:spacing w:val="-15"/>
        </w:rPr>
        <w:t xml:space="preserve"> </w:t>
      </w:r>
      <w:r>
        <w:t>giving</w:t>
      </w:r>
      <w:r>
        <w:rPr>
          <w:spacing w:val="-13"/>
        </w:rPr>
        <w:t xml:space="preserve"> </w:t>
      </w:r>
      <w:r>
        <w:t>100%</w:t>
      </w:r>
      <w:r>
        <w:rPr>
          <w:spacing w:val="-11"/>
        </w:rPr>
        <w:t xml:space="preserve"> </w:t>
      </w:r>
      <w:r>
        <w:t>of</w:t>
      </w:r>
      <w:r>
        <w:rPr>
          <w:spacing w:val="-15"/>
        </w:rPr>
        <w:t xml:space="preserve"> </w:t>
      </w:r>
      <w:r>
        <w:t>money</w:t>
      </w:r>
      <w:r>
        <w:rPr>
          <w:spacing w:val="-12"/>
        </w:rPr>
        <w:t xml:space="preserve"> </w:t>
      </w:r>
      <w:r>
        <w:t>raised</w:t>
      </w:r>
      <w:r>
        <w:rPr>
          <w:spacing w:val="-14"/>
        </w:rPr>
        <w:t xml:space="preserve"> </w:t>
      </w:r>
      <w:r>
        <w:t>to</w:t>
      </w:r>
      <w:r>
        <w:rPr>
          <w:spacing w:val="-13"/>
        </w:rPr>
        <w:t xml:space="preserve"> </w:t>
      </w:r>
      <w:r>
        <w:t>Charity</w:t>
      </w:r>
      <w:r>
        <w:rPr>
          <w:spacing w:val="-15"/>
        </w:rPr>
        <w:t xml:space="preserve"> </w:t>
      </w:r>
      <w:r>
        <w:t>or</w:t>
      </w:r>
      <w:r>
        <w:rPr>
          <w:spacing w:val="-15"/>
        </w:rPr>
        <w:t xml:space="preserve"> </w:t>
      </w:r>
      <w:r>
        <w:t>to</w:t>
      </w:r>
      <w:r>
        <w:rPr>
          <w:spacing w:val="-17"/>
        </w:rPr>
        <w:t xml:space="preserve"> </w:t>
      </w:r>
      <w:r>
        <w:t>be</w:t>
      </w:r>
      <w:r>
        <w:rPr>
          <w:spacing w:val="-12"/>
        </w:rPr>
        <w:t xml:space="preserve"> </w:t>
      </w:r>
      <w:r>
        <w:t>used</w:t>
      </w:r>
      <w:r>
        <w:rPr>
          <w:spacing w:val="-14"/>
        </w:rPr>
        <w:t xml:space="preserve"> </w:t>
      </w:r>
      <w:r>
        <w:t>on</w:t>
      </w:r>
      <w:r>
        <w:rPr>
          <w:spacing w:val="-13"/>
        </w:rPr>
        <w:t xml:space="preserve"> </w:t>
      </w:r>
      <w:r>
        <w:t>our</w:t>
      </w:r>
      <w:r>
        <w:rPr>
          <w:spacing w:val="-12"/>
        </w:rPr>
        <w:t xml:space="preserve"> </w:t>
      </w:r>
      <w:r>
        <w:t>own</w:t>
      </w:r>
      <w:r>
        <w:rPr>
          <w:spacing w:val="-14"/>
        </w:rPr>
        <w:t xml:space="preserve"> </w:t>
      </w:r>
      <w:r>
        <w:t>Rotary programs</w:t>
      </w:r>
      <w:r>
        <w:rPr>
          <w:spacing w:val="-15"/>
        </w:rPr>
        <w:t xml:space="preserve"> </w:t>
      </w:r>
      <w:r>
        <w:t>or</w:t>
      </w:r>
      <w:r>
        <w:rPr>
          <w:spacing w:val="-12"/>
        </w:rPr>
        <w:t xml:space="preserve"> </w:t>
      </w:r>
      <w:r>
        <w:t>projects.</w:t>
      </w:r>
      <w:r>
        <w:rPr>
          <w:spacing w:val="-17"/>
        </w:rPr>
        <w:t xml:space="preserve"> </w:t>
      </w:r>
      <w:r>
        <w:t>To</w:t>
      </w:r>
      <w:r>
        <w:rPr>
          <w:spacing w:val="-12"/>
        </w:rPr>
        <w:t xml:space="preserve"> </w:t>
      </w:r>
      <w:r>
        <w:t>ensure</w:t>
      </w:r>
      <w:r>
        <w:rPr>
          <w:spacing w:val="-13"/>
        </w:rPr>
        <w:t xml:space="preserve"> </w:t>
      </w:r>
      <w:r>
        <w:t>there</w:t>
      </w:r>
      <w:r>
        <w:rPr>
          <w:spacing w:val="-12"/>
        </w:rPr>
        <w:t xml:space="preserve"> </w:t>
      </w:r>
      <w:r>
        <w:t>is</w:t>
      </w:r>
      <w:r>
        <w:rPr>
          <w:spacing w:val="-13"/>
        </w:rPr>
        <w:t xml:space="preserve"> </w:t>
      </w:r>
      <w:r>
        <w:t>NO</w:t>
      </w:r>
      <w:r>
        <w:rPr>
          <w:spacing w:val="-12"/>
        </w:rPr>
        <w:t xml:space="preserve"> </w:t>
      </w:r>
      <w:r>
        <w:t>chance</w:t>
      </w:r>
      <w:r>
        <w:rPr>
          <w:spacing w:val="-12"/>
        </w:rPr>
        <w:t xml:space="preserve"> </w:t>
      </w:r>
      <w:r>
        <w:t>of</w:t>
      </w:r>
      <w:r>
        <w:rPr>
          <w:spacing w:val="-13"/>
        </w:rPr>
        <w:t xml:space="preserve"> </w:t>
      </w:r>
      <w:r>
        <w:t>community</w:t>
      </w:r>
      <w:r>
        <w:rPr>
          <w:spacing w:val="-13"/>
        </w:rPr>
        <w:t xml:space="preserve"> </w:t>
      </w:r>
      <w:r>
        <w:t>misunderstanding</w:t>
      </w:r>
      <w:r>
        <w:rPr>
          <w:spacing w:val="-14"/>
        </w:rPr>
        <w:t xml:space="preserve"> </w:t>
      </w:r>
      <w:r>
        <w:t>-</w:t>
      </w:r>
      <w:r>
        <w:rPr>
          <w:spacing w:val="-12"/>
        </w:rPr>
        <w:t xml:space="preserve"> </w:t>
      </w:r>
      <w:r>
        <w:t>their intuition is always that we raise money for charitable purposes - it is impo</w:t>
      </w:r>
      <w:r>
        <w:t>rtant that we stay with the traditional understanding that all money raised from the public is for the Service Account. We should not risk image damage through community misunderstanding.</w:t>
      </w:r>
    </w:p>
    <w:p w:rsidR="007D3D15" w:rsidRDefault="007D3D15">
      <w:pPr>
        <w:pStyle w:val="BodyText"/>
        <w:spacing w:before="1"/>
      </w:pPr>
    </w:p>
    <w:p w:rsidR="007D3D15" w:rsidRDefault="00A065E1">
      <w:pPr>
        <w:pStyle w:val="BodyText"/>
        <w:ind w:left="383"/>
      </w:pPr>
      <w:r>
        <w:rPr>
          <w:rFonts w:ascii="Times New Roman"/>
          <w:spacing w:val="-60"/>
          <w:u w:val="single"/>
        </w:rPr>
        <w:t xml:space="preserve"> </w:t>
      </w:r>
      <w:r>
        <w:rPr>
          <w:u w:val="single"/>
        </w:rPr>
        <w:t>NSW Authority to Fundraise</w:t>
      </w:r>
    </w:p>
    <w:p w:rsidR="007D3D15" w:rsidRDefault="00A065E1">
      <w:pPr>
        <w:pStyle w:val="BodyText"/>
        <w:ind w:left="383" w:right="595"/>
        <w:jc w:val="both"/>
      </w:pPr>
      <w:r>
        <w:t>NSW Fair Trading issues the authority for charitable fundraising under the Charitable Fundraising Act 1991 and the Charitable Fundraising Regulation 2015. Charitable Fundraising</w:t>
      </w:r>
      <w:r>
        <w:rPr>
          <w:spacing w:val="-11"/>
        </w:rPr>
        <w:t xml:space="preserve"> </w:t>
      </w:r>
      <w:r>
        <w:t>Authority</w:t>
      </w:r>
      <w:r>
        <w:rPr>
          <w:spacing w:val="-10"/>
        </w:rPr>
        <w:t xml:space="preserve"> </w:t>
      </w:r>
      <w:r>
        <w:t>Conditions</w:t>
      </w:r>
      <w:r>
        <w:rPr>
          <w:spacing w:val="-8"/>
        </w:rPr>
        <w:t xml:space="preserve"> </w:t>
      </w:r>
      <w:r>
        <w:t>are</w:t>
      </w:r>
      <w:r>
        <w:rPr>
          <w:spacing w:val="-10"/>
        </w:rPr>
        <w:t xml:space="preserve"> </w:t>
      </w:r>
      <w:r>
        <w:t>set</w:t>
      </w:r>
      <w:r>
        <w:rPr>
          <w:spacing w:val="-11"/>
        </w:rPr>
        <w:t xml:space="preserve"> </w:t>
      </w:r>
      <w:r>
        <w:t>out</w:t>
      </w:r>
      <w:r>
        <w:rPr>
          <w:spacing w:val="-9"/>
        </w:rPr>
        <w:t xml:space="preserve"> </w:t>
      </w:r>
      <w:r>
        <w:t>on</w:t>
      </w:r>
      <w:r>
        <w:rPr>
          <w:spacing w:val="-10"/>
        </w:rPr>
        <w:t xml:space="preserve"> </w:t>
      </w:r>
      <w:r>
        <w:t>the</w:t>
      </w:r>
      <w:r>
        <w:rPr>
          <w:spacing w:val="-10"/>
        </w:rPr>
        <w:t xml:space="preserve"> </w:t>
      </w:r>
      <w:r>
        <w:t>NSW</w:t>
      </w:r>
      <w:r>
        <w:rPr>
          <w:spacing w:val="-8"/>
        </w:rPr>
        <w:t xml:space="preserve"> </w:t>
      </w:r>
      <w:r>
        <w:t>Fair</w:t>
      </w:r>
      <w:r>
        <w:rPr>
          <w:spacing w:val="-10"/>
        </w:rPr>
        <w:t xml:space="preserve"> </w:t>
      </w:r>
      <w:r>
        <w:t>Trading</w:t>
      </w:r>
      <w:r>
        <w:rPr>
          <w:spacing w:val="-10"/>
        </w:rPr>
        <w:t xml:space="preserve"> </w:t>
      </w:r>
      <w:r>
        <w:t>website.</w:t>
      </w:r>
      <w:r>
        <w:rPr>
          <w:spacing w:val="-8"/>
        </w:rPr>
        <w:t xml:space="preserve"> </w:t>
      </w:r>
      <w:r>
        <w:t>For</w:t>
      </w:r>
      <w:r>
        <w:rPr>
          <w:spacing w:val="-10"/>
        </w:rPr>
        <w:t xml:space="preserve"> </w:t>
      </w:r>
      <w:r>
        <w:t>purpose of these guidelines, attention is drawn to section 7 set out</w:t>
      </w:r>
      <w:r>
        <w:rPr>
          <w:spacing w:val="-7"/>
        </w:rPr>
        <w:t xml:space="preserve"> </w:t>
      </w:r>
      <w:r>
        <w:t>below.</w:t>
      </w:r>
    </w:p>
    <w:p w:rsidR="007D3D15" w:rsidRDefault="007D3D15">
      <w:pPr>
        <w:pStyle w:val="BodyText"/>
        <w:spacing w:before="11"/>
        <w:rPr>
          <w:sz w:val="23"/>
        </w:rPr>
      </w:pPr>
    </w:p>
    <w:p w:rsidR="007D3D15" w:rsidRDefault="00A065E1">
      <w:pPr>
        <w:ind w:left="666"/>
        <w:rPr>
          <w:i/>
          <w:sz w:val="24"/>
        </w:rPr>
      </w:pPr>
      <w:r>
        <w:rPr>
          <w:i/>
          <w:sz w:val="24"/>
          <w:u w:val="single"/>
        </w:rPr>
        <w:t>7. Ratio of expenses to receipts</w:t>
      </w:r>
    </w:p>
    <w:p w:rsidR="007D3D15" w:rsidRDefault="00A065E1">
      <w:pPr>
        <w:pStyle w:val="ListParagraph"/>
        <w:numPr>
          <w:ilvl w:val="0"/>
          <w:numId w:val="1"/>
        </w:numPr>
        <w:tabs>
          <w:tab w:val="left" w:pos="984"/>
        </w:tabs>
        <w:ind w:right="595" w:firstLine="0"/>
        <w:jc w:val="both"/>
        <w:rPr>
          <w:i/>
          <w:sz w:val="24"/>
        </w:rPr>
      </w:pPr>
      <w:r>
        <w:rPr>
          <w:i/>
          <w:sz w:val="24"/>
        </w:rPr>
        <w:t>An</w:t>
      </w:r>
      <w:r>
        <w:rPr>
          <w:i/>
          <w:spacing w:val="-9"/>
          <w:sz w:val="24"/>
        </w:rPr>
        <w:t xml:space="preserve"> </w:t>
      </w:r>
      <w:r>
        <w:rPr>
          <w:i/>
          <w:sz w:val="24"/>
        </w:rPr>
        <w:t>authorised</w:t>
      </w:r>
      <w:r>
        <w:rPr>
          <w:i/>
          <w:spacing w:val="-6"/>
          <w:sz w:val="24"/>
        </w:rPr>
        <w:t xml:space="preserve"> </w:t>
      </w:r>
      <w:r>
        <w:rPr>
          <w:i/>
          <w:sz w:val="24"/>
        </w:rPr>
        <w:t>fundraiser</w:t>
      </w:r>
      <w:r>
        <w:rPr>
          <w:i/>
          <w:spacing w:val="-5"/>
          <w:sz w:val="24"/>
        </w:rPr>
        <w:t xml:space="preserve"> </w:t>
      </w:r>
      <w:r>
        <w:rPr>
          <w:i/>
          <w:sz w:val="24"/>
        </w:rPr>
        <w:t>conducting</w:t>
      </w:r>
      <w:r>
        <w:rPr>
          <w:i/>
          <w:spacing w:val="-9"/>
          <w:sz w:val="24"/>
        </w:rPr>
        <w:t xml:space="preserve"> </w:t>
      </w:r>
      <w:r>
        <w:rPr>
          <w:i/>
          <w:sz w:val="24"/>
        </w:rPr>
        <w:t>a</w:t>
      </w:r>
      <w:r>
        <w:rPr>
          <w:i/>
          <w:spacing w:val="-5"/>
          <w:sz w:val="24"/>
        </w:rPr>
        <w:t xml:space="preserve"> </w:t>
      </w:r>
      <w:r>
        <w:rPr>
          <w:i/>
          <w:sz w:val="24"/>
        </w:rPr>
        <w:t>fundraising</w:t>
      </w:r>
      <w:r>
        <w:rPr>
          <w:i/>
          <w:spacing w:val="-10"/>
          <w:sz w:val="24"/>
        </w:rPr>
        <w:t xml:space="preserve"> </w:t>
      </w:r>
      <w:r>
        <w:rPr>
          <w:i/>
          <w:sz w:val="24"/>
        </w:rPr>
        <w:t>appeal</w:t>
      </w:r>
      <w:r>
        <w:rPr>
          <w:i/>
          <w:spacing w:val="-5"/>
          <w:sz w:val="24"/>
        </w:rPr>
        <w:t xml:space="preserve"> </w:t>
      </w:r>
      <w:r>
        <w:rPr>
          <w:i/>
          <w:sz w:val="24"/>
        </w:rPr>
        <w:t>for</w:t>
      </w:r>
      <w:r>
        <w:rPr>
          <w:i/>
          <w:spacing w:val="-6"/>
          <w:sz w:val="24"/>
        </w:rPr>
        <w:t xml:space="preserve"> </w:t>
      </w:r>
      <w:r>
        <w:rPr>
          <w:i/>
          <w:sz w:val="24"/>
        </w:rPr>
        <w:t>donations</w:t>
      </w:r>
      <w:r>
        <w:rPr>
          <w:i/>
          <w:spacing w:val="-6"/>
          <w:sz w:val="24"/>
        </w:rPr>
        <w:t xml:space="preserve"> </w:t>
      </w:r>
      <w:r>
        <w:rPr>
          <w:i/>
          <w:sz w:val="24"/>
        </w:rPr>
        <w:t>only</w:t>
      </w:r>
      <w:r>
        <w:rPr>
          <w:i/>
          <w:spacing w:val="-5"/>
          <w:sz w:val="24"/>
        </w:rPr>
        <w:t xml:space="preserve"> </w:t>
      </w:r>
      <w:r>
        <w:rPr>
          <w:i/>
          <w:sz w:val="24"/>
        </w:rPr>
        <w:t>(that</w:t>
      </w:r>
      <w:r>
        <w:rPr>
          <w:i/>
          <w:spacing w:val="-5"/>
          <w:sz w:val="24"/>
        </w:rPr>
        <w:t xml:space="preserve"> </w:t>
      </w:r>
      <w:r>
        <w:rPr>
          <w:i/>
          <w:sz w:val="24"/>
        </w:rPr>
        <w:t>is, without any associated supply of goods or services) must tak</w:t>
      </w:r>
      <w:r>
        <w:rPr>
          <w:i/>
          <w:sz w:val="24"/>
        </w:rPr>
        <w:t>e all reasonable steps to ensure that the expenses payable in respect of the appeal do not exceed 50 per cent</w:t>
      </w:r>
      <w:r>
        <w:rPr>
          <w:i/>
          <w:spacing w:val="6"/>
          <w:sz w:val="24"/>
        </w:rPr>
        <w:t xml:space="preserve"> </w:t>
      </w:r>
      <w:r>
        <w:rPr>
          <w:i/>
          <w:sz w:val="24"/>
        </w:rPr>
        <w:t>of</w:t>
      </w:r>
    </w:p>
    <w:p w:rsidR="007D3D15" w:rsidRDefault="007D3D15">
      <w:pPr>
        <w:jc w:val="both"/>
        <w:rPr>
          <w:sz w:val="24"/>
        </w:rPr>
        <w:sectPr w:rsidR="007D3D15">
          <w:type w:val="continuous"/>
          <w:pgSz w:w="11910" w:h="16840"/>
          <w:pgMar w:top="480" w:right="840" w:bottom="280" w:left="1340" w:header="720" w:footer="720" w:gutter="0"/>
          <w:cols w:space="720"/>
        </w:sectPr>
      </w:pPr>
    </w:p>
    <w:p w:rsidR="007D3D15" w:rsidRDefault="00A065E1">
      <w:pPr>
        <w:spacing w:before="41"/>
        <w:ind w:left="666" w:right="526"/>
        <w:rPr>
          <w:i/>
          <w:sz w:val="24"/>
        </w:rPr>
      </w:pPr>
      <w:r>
        <w:rPr>
          <w:i/>
          <w:sz w:val="24"/>
        </w:rPr>
        <w:lastRenderedPageBreak/>
        <w:t>the gross income obtained, whether the appeal is conducted house-to-house, in a public place, by telephone canvassing or in any</w:t>
      </w:r>
      <w:r>
        <w:rPr>
          <w:i/>
          <w:sz w:val="24"/>
        </w:rPr>
        <w:t xml:space="preserve"> other manner.</w:t>
      </w:r>
    </w:p>
    <w:p w:rsidR="007D3D15" w:rsidRDefault="007D3D15">
      <w:pPr>
        <w:pStyle w:val="BodyText"/>
        <w:spacing w:before="11"/>
        <w:rPr>
          <w:i/>
          <w:sz w:val="23"/>
        </w:rPr>
      </w:pPr>
    </w:p>
    <w:p w:rsidR="007D3D15" w:rsidRDefault="00A065E1">
      <w:pPr>
        <w:pStyle w:val="ListParagraph"/>
        <w:numPr>
          <w:ilvl w:val="0"/>
          <w:numId w:val="1"/>
        </w:numPr>
        <w:tabs>
          <w:tab w:val="left" w:pos="1059"/>
        </w:tabs>
        <w:ind w:right="596" w:firstLine="0"/>
        <w:jc w:val="both"/>
        <w:rPr>
          <w:i/>
          <w:sz w:val="24"/>
        </w:rPr>
      </w:pPr>
      <w:r>
        <w:rPr>
          <w:i/>
          <w:sz w:val="24"/>
        </w:rPr>
        <w:t>An authorised fundraiser conducting a fundraising appeal otherwise than for donations only (that is, with associated supply of goods or services) must take all reasonable steps to ensure that the expenses payable in respect of the appeal do</w:t>
      </w:r>
      <w:r>
        <w:rPr>
          <w:i/>
          <w:sz w:val="24"/>
        </w:rPr>
        <w:t xml:space="preserve"> not exceed a fair and reasonable proportion of the gross income</w:t>
      </w:r>
      <w:r>
        <w:rPr>
          <w:i/>
          <w:spacing w:val="-9"/>
          <w:sz w:val="24"/>
        </w:rPr>
        <w:t xml:space="preserve"> </w:t>
      </w:r>
      <w:r>
        <w:rPr>
          <w:i/>
          <w:sz w:val="24"/>
        </w:rPr>
        <w:t>obtained.</w:t>
      </w:r>
    </w:p>
    <w:p w:rsidR="007D3D15" w:rsidRDefault="007D3D15">
      <w:pPr>
        <w:pStyle w:val="BodyText"/>
        <w:spacing w:before="2"/>
        <w:rPr>
          <w:i/>
        </w:rPr>
      </w:pPr>
    </w:p>
    <w:p w:rsidR="007D3D15" w:rsidRDefault="00A065E1">
      <w:pPr>
        <w:pStyle w:val="BodyText"/>
        <w:ind w:left="383"/>
      </w:pPr>
      <w:r>
        <w:t>We emphasise Note 2 above – “to ensure the expenses payable do not exceed a fair and reasonable proportion of the gross income.”</w:t>
      </w:r>
    </w:p>
    <w:p w:rsidR="007D3D15" w:rsidRDefault="007D3D15">
      <w:pPr>
        <w:pStyle w:val="BodyText"/>
        <w:spacing w:before="12"/>
        <w:rPr>
          <w:sz w:val="23"/>
        </w:rPr>
      </w:pPr>
    </w:p>
    <w:p w:rsidR="007D3D15" w:rsidRPr="00BC2556" w:rsidRDefault="00A065E1" w:rsidP="00BC2556">
      <w:pPr>
        <w:pStyle w:val="Heading1"/>
        <w:numPr>
          <w:ilvl w:val="0"/>
          <w:numId w:val="4"/>
        </w:numPr>
        <w:tabs>
          <w:tab w:val="left" w:pos="819"/>
          <w:tab w:val="left" w:pos="820"/>
        </w:tabs>
        <w:rPr>
          <w:u w:val="none"/>
        </w:rPr>
      </w:pPr>
      <w:r w:rsidRPr="00BC2556">
        <w:rPr>
          <w:u w:val="none"/>
        </w:rPr>
        <w:t>Assets</w:t>
      </w:r>
    </w:p>
    <w:p w:rsidR="007D3D15" w:rsidRDefault="007D3D15">
      <w:pPr>
        <w:pStyle w:val="BodyText"/>
        <w:spacing w:before="9"/>
        <w:rPr>
          <w:b/>
          <w:sz w:val="19"/>
        </w:rPr>
      </w:pPr>
    </w:p>
    <w:p w:rsidR="007D3D15" w:rsidRDefault="00A065E1">
      <w:pPr>
        <w:pStyle w:val="BodyText"/>
        <w:spacing w:before="51"/>
        <w:ind w:left="100" w:right="595"/>
        <w:jc w:val="both"/>
      </w:pPr>
      <w:r>
        <w:t>Any</w:t>
      </w:r>
      <w:r>
        <w:rPr>
          <w:spacing w:val="-1"/>
        </w:rPr>
        <w:t xml:space="preserve"> </w:t>
      </w:r>
      <w:r>
        <w:t>asset,</w:t>
      </w:r>
      <w:r>
        <w:rPr>
          <w:spacing w:val="-5"/>
        </w:rPr>
        <w:t xml:space="preserve"> </w:t>
      </w:r>
      <w:r>
        <w:t>whether</w:t>
      </w:r>
      <w:r>
        <w:rPr>
          <w:spacing w:val="-2"/>
        </w:rPr>
        <w:t xml:space="preserve"> </w:t>
      </w:r>
      <w:r>
        <w:t>it</w:t>
      </w:r>
      <w:r>
        <w:rPr>
          <w:spacing w:val="-4"/>
        </w:rPr>
        <w:t xml:space="preserve"> </w:t>
      </w:r>
      <w:r>
        <w:t>has</w:t>
      </w:r>
      <w:r>
        <w:rPr>
          <w:spacing w:val="-6"/>
        </w:rPr>
        <w:t xml:space="preserve"> </w:t>
      </w:r>
      <w:r>
        <w:t>a</w:t>
      </w:r>
      <w:r>
        <w:rPr>
          <w:spacing w:val="-2"/>
        </w:rPr>
        <w:t xml:space="preserve"> </w:t>
      </w:r>
      <w:r>
        <w:t>value</w:t>
      </w:r>
      <w:r>
        <w:rPr>
          <w:spacing w:val="-3"/>
        </w:rPr>
        <w:t xml:space="preserve"> </w:t>
      </w:r>
      <w:r>
        <w:t>on</w:t>
      </w:r>
      <w:r>
        <w:rPr>
          <w:spacing w:val="-4"/>
        </w:rPr>
        <w:t xml:space="preserve"> </w:t>
      </w:r>
      <w:r>
        <w:t>the</w:t>
      </w:r>
      <w:r>
        <w:rPr>
          <w:spacing w:val="-2"/>
        </w:rPr>
        <w:t xml:space="preserve"> </w:t>
      </w:r>
      <w:r>
        <w:t>balance</w:t>
      </w:r>
      <w:r>
        <w:rPr>
          <w:spacing w:val="-3"/>
        </w:rPr>
        <w:t xml:space="preserve"> </w:t>
      </w:r>
      <w:r>
        <w:t>sheet</w:t>
      </w:r>
      <w:r>
        <w:rPr>
          <w:spacing w:val="-5"/>
        </w:rPr>
        <w:t xml:space="preserve"> </w:t>
      </w:r>
      <w:r>
        <w:t>or</w:t>
      </w:r>
      <w:r>
        <w:rPr>
          <w:spacing w:val="-4"/>
        </w:rPr>
        <w:t xml:space="preserve"> </w:t>
      </w:r>
      <w:r>
        <w:t>not,</w:t>
      </w:r>
      <w:r>
        <w:rPr>
          <w:spacing w:val="-5"/>
        </w:rPr>
        <w:t xml:space="preserve"> </w:t>
      </w:r>
      <w:r>
        <w:t>must</w:t>
      </w:r>
      <w:r>
        <w:rPr>
          <w:spacing w:val="-4"/>
        </w:rPr>
        <w:t xml:space="preserve"> </w:t>
      </w:r>
      <w:r>
        <w:t>be</w:t>
      </w:r>
      <w:r>
        <w:rPr>
          <w:spacing w:val="-1"/>
        </w:rPr>
        <w:t xml:space="preserve"> </w:t>
      </w:r>
      <w:r>
        <w:t>allocated</w:t>
      </w:r>
      <w:r>
        <w:rPr>
          <w:spacing w:val="-4"/>
        </w:rPr>
        <w:t xml:space="preserve"> </w:t>
      </w:r>
      <w:r>
        <w:t>either</w:t>
      </w:r>
      <w:r>
        <w:rPr>
          <w:spacing w:val="-5"/>
        </w:rPr>
        <w:t xml:space="preserve"> </w:t>
      </w:r>
      <w:r>
        <w:t>to</w:t>
      </w:r>
      <w:r>
        <w:rPr>
          <w:spacing w:val="-6"/>
        </w:rPr>
        <w:t xml:space="preserve"> </w:t>
      </w:r>
      <w:r>
        <w:t>the Administration Account or the Service Account. Any residual value of the asset realised on sale is then allocated to the nominated account. Similarly, on-going costs to maintain these assets are to be a</w:t>
      </w:r>
      <w:r>
        <w:t>llocated to the nominated</w:t>
      </w:r>
      <w:r>
        <w:rPr>
          <w:spacing w:val="-3"/>
        </w:rPr>
        <w:t xml:space="preserve"> </w:t>
      </w:r>
      <w:r>
        <w:t>account.</w:t>
      </w:r>
    </w:p>
    <w:p w:rsidR="007D3D15" w:rsidRDefault="007D3D15">
      <w:pPr>
        <w:pStyle w:val="BodyText"/>
        <w:spacing w:before="12"/>
        <w:rPr>
          <w:sz w:val="23"/>
        </w:rPr>
      </w:pPr>
    </w:p>
    <w:p w:rsidR="007D3D15" w:rsidRDefault="00A065E1">
      <w:pPr>
        <w:pStyle w:val="BodyText"/>
        <w:ind w:left="100" w:right="526"/>
      </w:pPr>
      <w:r>
        <w:t>Assets should normally be purchased by, and held in, the Administration Account. However, assets should be held in the Service Account if:</w:t>
      </w:r>
    </w:p>
    <w:p w:rsidR="007D3D15" w:rsidRDefault="00A065E1" w:rsidP="00BC2556">
      <w:pPr>
        <w:pStyle w:val="ListParagraph"/>
        <w:numPr>
          <w:ilvl w:val="1"/>
          <w:numId w:val="4"/>
        </w:numPr>
        <w:tabs>
          <w:tab w:val="left" w:pos="819"/>
          <w:tab w:val="left" w:pos="820"/>
        </w:tabs>
        <w:spacing w:line="242" w:lineRule="auto"/>
        <w:ind w:right="594"/>
        <w:rPr>
          <w:sz w:val="24"/>
        </w:rPr>
      </w:pPr>
      <w:r>
        <w:rPr>
          <w:sz w:val="24"/>
        </w:rPr>
        <w:t>the asset has been purchased for Service project purposes and it is necessary to use Service Account funds to make the purchase,</w:t>
      </w:r>
      <w:r>
        <w:rPr>
          <w:spacing w:val="-7"/>
          <w:sz w:val="24"/>
        </w:rPr>
        <w:t xml:space="preserve"> </w:t>
      </w:r>
      <w:r>
        <w:rPr>
          <w:sz w:val="24"/>
        </w:rPr>
        <w:t>or</w:t>
      </w:r>
    </w:p>
    <w:p w:rsidR="007D3D15" w:rsidRDefault="00A065E1" w:rsidP="00BC2556">
      <w:pPr>
        <w:pStyle w:val="ListParagraph"/>
        <w:numPr>
          <w:ilvl w:val="1"/>
          <w:numId w:val="4"/>
        </w:numPr>
        <w:tabs>
          <w:tab w:val="left" w:pos="819"/>
          <w:tab w:val="left" w:pos="820"/>
        </w:tabs>
        <w:ind w:right="596"/>
        <w:rPr>
          <w:sz w:val="24"/>
        </w:rPr>
      </w:pPr>
      <w:r>
        <w:rPr>
          <w:sz w:val="24"/>
        </w:rPr>
        <w:t>an asset has been purchased for service project purposes using a government or private sector grant received for that</w:t>
      </w:r>
      <w:r>
        <w:rPr>
          <w:spacing w:val="-5"/>
          <w:sz w:val="24"/>
        </w:rPr>
        <w:t xml:space="preserve"> </w:t>
      </w:r>
      <w:r>
        <w:rPr>
          <w:sz w:val="24"/>
        </w:rPr>
        <w:t>purpos</w:t>
      </w:r>
      <w:r>
        <w:rPr>
          <w:sz w:val="24"/>
        </w:rPr>
        <w:t>e.</w:t>
      </w:r>
    </w:p>
    <w:p w:rsidR="007D3D15" w:rsidRDefault="007D3D15">
      <w:pPr>
        <w:pStyle w:val="BodyText"/>
        <w:spacing w:before="6"/>
        <w:rPr>
          <w:sz w:val="23"/>
        </w:rPr>
      </w:pPr>
    </w:p>
    <w:p w:rsidR="007D3D15" w:rsidRPr="00BC2556" w:rsidRDefault="00A065E1" w:rsidP="00BC2556">
      <w:pPr>
        <w:pStyle w:val="Heading1"/>
        <w:numPr>
          <w:ilvl w:val="0"/>
          <w:numId w:val="4"/>
        </w:numPr>
        <w:tabs>
          <w:tab w:val="left" w:pos="819"/>
          <w:tab w:val="left" w:pos="820"/>
        </w:tabs>
        <w:rPr>
          <w:u w:val="none"/>
        </w:rPr>
      </w:pPr>
      <w:r w:rsidRPr="00BC2556">
        <w:rPr>
          <w:u w:val="none"/>
        </w:rPr>
        <w:t>Events - Service or</w:t>
      </w:r>
      <w:r w:rsidRPr="00BC2556">
        <w:rPr>
          <w:spacing w:val="-1"/>
          <w:u w:val="none"/>
        </w:rPr>
        <w:t xml:space="preserve"> </w:t>
      </w:r>
      <w:r w:rsidRPr="00BC2556">
        <w:rPr>
          <w:u w:val="none"/>
        </w:rPr>
        <w:t>Administration</w:t>
      </w:r>
    </w:p>
    <w:p w:rsidR="007D3D15" w:rsidRDefault="007D3D15">
      <w:pPr>
        <w:pStyle w:val="BodyText"/>
        <w:spacing w:before="11"/>
        <w:rPr>
          <w:b/>
          <w:sz w:val="19"/>
        </w:rPr>
      </w:pPr>
    </w:p>
    <w:p w:rsidR="007D3D15" w:rsidRDefault="00A065E1">
      <w:pPr>
        <w:pStyle w:val="BodyText"/>
        <w:spacing w:before="52"/>
        <w:ind w:left="100" w:right="596"/>
        <w:jc w:val="both"/>
      </w:pPr>
      <w:r>
        <w:t>A club event, such as Changeover, Christmas party, club social function, may include invited non-club members, but it is not advertised to the general public. Such events should be processed through the Administrati</w:t>
      </w:r>
      <w:r>
        <w:t>on Account.</w:t>
      </w:r>
    </w:p>
    <w:p w:rsidR="007D3D15" w:rsidRDefault="007D3D15">
      <w:pPr>
        <w:pStyle w:val="BodyText"/>
        <w:spacing w:before="11"/>
        <w:rPr>
          <w:sz w:val="23"/>
        </w:rPr>
      </w:pPr>
    </w:p>
    <w:p w:rsidR="007D3D15" w:rsidRDefault="00A065E1">
      <w:pPr>
        <w:pStyle w:val="BodyText"/>
        <w:ind w:left="100" w:right="596"/>
        <w:jc w:val="both"/>
      </w:pPr>
      <w:r>
        <w:t>Service projects at which the club raises income (either directly as the function organiser or indirectly as a service provider) and which are advertised or available to the general public</w:t>
      </w:r>
    </w:p>
    <w:p w:rsidR="007D3D15" w:rsidRDefault="00A065E1">
      <w:pPr>
        <w:pStyle w:val="BodyText"/>
        <w:ind w:left="100" w:right="595"/>
        <w:jc w:val="both"/>
      </w:pPr>
      <w:r>
        <w:rPr>
          <w:rFonts w:ascii="Times New Roman" w:hAnsi="Times New Roman"/>
          <w:spacing w:val="-60"/>
          <w:u w:val="single"/>
        </w:rPr>
        <w:t xml:space="preserve"> </w:t>
      </w:r>
      <w:r>
        <w:rPr>
          <w:b/>
          <w:u w:val="single"/>
        </w:rPr>
        <w:t>must</w:t>
      </w:r>
      <w:r>
        <w:rPr>
          <w:b/>
          <w:spacing w:val="-5"/>
        </w:rPr>
        <w:t xml:space="preserve"> </w:t>
      </w:r>
      <w:r>
        <w:t>be</w:t>
      </w:r>
      <w:r>
        <w:rPr>
          <w:spacing w:val="-5"/>
        </w:rPr>
        <w:t xml:space="preserve"> </w:t>
      </w:r>
      <w:r>
        <w:t>handled</w:t>
      </w:r>
      <w:r>
        <w:rPr>
          <w:spacing w:val="-5"/>
        </w:rPr>
        <w:t xml:space="preserve"> </w:t>
      </w:r>
      <w:r>
        <w:t>through</w:t>
      </w:r>
      <w:r>
        <w:rPr>
          <w:spacing w:val="-5"/>
        </w:rPr>
        <w:t xml:space="preserve"> </w:t>
      </w:r>
      <w:r>
        <w:t>the</w:t>
      </w:r>
      <w:r>
        <w:rPr>
          <w:spacing w:val="-5"/>
        </w:rPr>
        <w:t xml:space="preserve"> </w:t>
      </w:r>
      <w:r>
        <w:t>Service</w:t>
      </w:r>
      <w:r>
        <w:rPr>
          <w:spacing w:val="-8"/>
        </w:rPr>
        <w:t xml:space="preserve"> </w:t>
      </w:r>
      <w:r>
        <w:t>Account.</w:t>
      </w:r>
      <w:r>
        <w:rPr>
          <w:spacing w:val="-4"/>
        </w:rPr>
        <w:t xml:space="preserve"> </w:t>
      </w:r>
      <w:r>
        <w:t>No</w:t>
      </w:r>
      <w:r>
        <w:rPr>
          <w:spacing w:val="-5"/>
        </w:rPr>
        <w:t xml:space="preserve"> </w:t>
      </w:r>
      <w:r>
        <w:t>portion</w:t>
      </w:r>
      <w:r>
        <w:rPr>
          <w:spacing w:val="-5"/>
        </w:rPr>
        <w:t xml:space="preserve"> </w:t>
      </w:r>
      <w:r>
        <w:t>of</w:t>
      </w:r>
      <w:r>
        <w:rPr>
          <w:spacing w:val="-7"/>
        </w:rPr>
        <w:t xml:space="preserve"> </w:t>
      </w:r>
      <w:r>
        <w:t>the</w:t>
      </w:r>
      <w:r>
        <w:rPr>
          <w:spacing w:val="-5"/>
        </w:rPr>
        <w:t xml:space="preserve"> </w:t>
      </w:r>
      <w:r>
        <w:t>funds</w:t>
      </w:r>
      <w:r>
        <w:rPr>
          <w:spacing w:val="-3"/>
        </w:rPr>
        <w:t xml:space="preserve"> </w:t>
      </w:r>
      <w:r>
        <w:t>raised</w:t>
      </w:r>
      <w:r>
        <w:rPr>
          <w:spacing w:val="-5"/>
        </w:rPr>
        <w:t xml:space="preserve"> </w:t>
      </w:r>
      <w:r>
        <w:t>are</w:t>
      </w:r>
      <w:r>
        <w:rPr>
          <w:spacing w:val="-5"/>
        </w:rPr>
        <w:t xml:space="preserve"> </w:t>
      </w:r>
      <w:r>
        <w:t>to</w:t>
      </w:r>
      <w:r>
        <w:rPr>
          <w:spacing w:val="-4"/>
        </w:rPr>
        <w:t xml:space="preserve"> </w:t>
      </w:r>
      <w:r>
        <w:t>go</w:t>
      </w:r>
      <w:r>
        <w:rPr>
          <w:spacing w:val="-5"/>
        </w:rPr>
        <w:t xml:space="preserve"> </w:t>
      </w:r>
      <w:r>
        <w:t>to</w:t>
      </w:r>
      <w:r>
        <w:rPr>
          <w:spacing w:val="-5"/>
        </w:rPr>
        <w:t xml:space="preserve"> </w:t>
      </w:r>
      <w:r>
        <w:t>the Administration Account. Clubs should also advertise where the funds are going (for example “Rotary Community Projects”) if at all</w:t>
      </w:r>
      <w:r>
        <w:rPr>
          <w:spacing w:val="-7"/>
        </w:rPr>
        <w:t xml:space="preserve"> </w:t>
      </w:r>
      <w:r>
        <w:t>possible.</w:t>
      </w:r>
    </w:p>
    <w:p w:rsidR="007D3D15" w:rsidRDefault="007D3D15">
      <w:pPr>
        <w:pStyle w:val="BodyText"/>
        <w:spacing w:before="11"/>
        <w:rPr>
          <w:sz w:val="23"/>
        </w:rPr>
      </w:pPr>
    </w:p>
    <w:p w:rsidR="007D3D15" w:rsidRPr="00BC2556" w:rsidRDefault="00A065E1" w:rsidP="00BC2556">
      <w:pPr>
        <w:pStyle w:val="Heading1"/>
        <w:numPr>
          <w:ilvl w:val="0"/>
          <w:numId w:val="4"/>
        </w:numPr>
        <w:tabs>
          <w:tab w:val="left" w:pos="819"/>
          <w:tab w:val="left" w:pos="820"/>
        </w:tabs>
        <w:spacing w:before="1"/>
        <w:rPr>
          <w:u w:val="none"/>
        </w:rPr>
      </w:pPr>
      <w:r w:rsidRPr="00BC2556">
        <w:rPr>
          <w:u w:val="none"/>
        </w:rPr>
        <w:t>Income/Expenditure</w:t>
      </w:r>
    </w:p>
    <w:p w:rsidR="007D3D15" w:rsidRDefault="007D3D15">
      <w:pPr>
        <w:pStyle w:val="BodyText"/>
        <w:spacing w:before="9"/>
        <w:rPr>
          <w:b/>
          <w:sz w:val="19"/>
        </w:rPr>
      </w:pPr>
    </w:p>
    <w:p w:rsidR="007D3D15" w:rsidRDefault="00A065E1">
      <w:pPr>
        <w:pStyle w:val="BodyText"/>
        <w:spacing w:before="51"/>
        <w:ind w:left="100" w:right="530"/>
      </w:pPr>
      <w:r>
        <w:t>Treatment of income and expenditure follows the c</w:t>
      </w:r>
      <w:r>
        <w:t>onsiderations discussed above and may be summarised in the 3 rules of thumb below:</w:t>
      </w:r>
    </w:p>
    <w:p w:rsidR="007D3D15" w:rsidRDefault="007D3D15">
      <w:pPr>
        <w:pStyle w:val="BodyText"/>
        <w:spacing w:before="2"/>
      </w:pPr>
    </w:p>
    <w:p w:rsidR="007D3D15" w:rsidRPr="00BC2556" w:rsidRDefault="00BC2556" w:rsidP="00BC2556">
      <w:pPr>
        <w:pStyle w:val="BodyText"/>
        <w:numPr>
          <w:ilvl w:val="0"/>
          <w:numId w:val="5"/>
        </w:numPr>
        <w:ind w:left="426" w:hanging="284"/>
      </w:pPr>
      <w:r w:rsidRPr="00BC2556">
        <w:t>Rule of T</w:t>
      </w:r>
      <w:r w:rsidR="00A065E1" w:rsidRPr="00BC2556">
        <w:t>humb 1</w:t>
      </w:r>
    </w:p>
    <w:p w:rsidR="007D3D15" w:rsidRDefault="00A065E1" w:rsidP="00BC2556">
      <w:pPr>
        <w:pStyle w:val="BodyText"/>
        <w:ind w:left="426" w:right="595"/>
        <w:jc w:val="both"/>
      </w:pPr>
      <w:r>
        <w:t>All</w:t>
      </w:r>
      <w:r>
        <w:rPr>
          <w:spacing w:val="-9"/>
        </w:rPr>
        <w:t xml:space="preserve"> </w:t>
      </w:r>
      <w:r>
        <w:t>income/expenditure</w:t>
      </w:r>
      <w:r>
        <w:rPr>
          <w:spacing w:val="-5"/>
        </w:rPr>
        <w:t xml:space="preserve"> </w:t>
      </w:r>
      <w:r>
        <w:t>related</w:t>
      </w:r>
      <w:r>
        <w:rPr>
          <w:spacing w:val="-6"/>
        </w:rPr>
        <w:t xml:space="preserve"> </w:t>
      </w:r>
      <w:r>
        <w:t>to</w:t>
      </w:r>
      <w:r>
        <w:rPr>
          <w:spacing w:val="-8"/>
        </w:rPr>
        <w:t xml:space="preserve"> </w:t>
      </w:r>
      <w:r>
        <w:t>an</w:t>
      </w:r>
      <w:r>
        <w:rPr>
          <w:spacing w:val="-9"/>
        </w:rPr>
        <w:t xml:space="preserve"> </w:t>
      </w:r>
      <w:r>
        <w:t>event</w:t>
      </w:r>
      <w:r>
        <w:rPr>
          <w:spacing w:val="-4"/>
        </w:rPr>
        <w:t xml:space="preserve"> </w:t>
      </w:r>
      <w:r>
        <w:t>must</w:t>
      </w:r>
      <w:r>
        <w:rPr>
          <w:spacing w:val="-10"/>
        </w:rPr>
        <w:t xml:space="preserve"> </w:t>
      </w:r>
      <w:r>
        <w:t>go</w:t>
      </w:r>
      <w:r>
        <w:rPr>
          <w:spacing w:val="-8"/>
        </w:rPr>
        <w:t xml:space="preserve"> </w:t>
      </w:r>
      <w:r>
        <w:t>through</w:t>
      </w:r>
      <w:r>
        <w:rPr>
          <w:spacing w:val="-10"/>
        </w:rPr>
        <w:t xml:space="preserve"> </w:t>
      </w:r>
      <w:r>
        <w:t>the</w:t>
      </w:r>
      <w:r>
        <w:rPr>
          <w:spacing w:val="-6"/>
        </w:rPr>
        <w:t xml:space="preserve"> </w:t>
      </w:r>
      <w:r>
        <w:t>same</w:t>
      </w:r>
      <w:r>
        <w:rPr>
          <w:spacing w:val="-5"/>
        </w:rPr>
        <w:t xml:space="preserve"> </w:t>
      </w:r>
      <w:r>
        <w:t>account,</w:t>
      </w:r>
      <w:r>
        <w:rPr>
          <w:spacing w:val="-9"/>
        </w:rPr>
        <w:t xml:space="preserve"> </w:t>
      </w:r>
      <w:r>
        <w:t>either the Administration Account or the Service Account; they cannot be split between the Administration Account and the Service</w:t>
      </w:r>
      <w:r>
        <w:rPr>
          <w:spacing w:val="-6"/>
        </w:rPr>
        <w:t xml:space="preserve"> </w:t>
      </w:r>
      <w:r>
        <w:t>Account.</w:t>
      </w:r>
    </w:p>
    <w:p w:rsidR="007D3D15" w:rsidRDefault="007D3D15">
      <w:pPr>
        <w:jc w:val="both"/>
        <w:sectPr w:rsidR="007D3D15">
          <w:pgSz w:w="11910" w:h="16840"/>
          <w:pgMar w:top="1380" w:right="840" w:bottom="280" w:left="1340" w:header="720" w:footer="720" w:gutter="0"/>
          <w:cols w:space="720"/>
        </w:sectPr>
      </w:pPr>
    </w:p>
    <w:p w:rsidR="007D3D15" w:rsidRPr="00BC2556" w:rsidRDefault="00BC2556" w:rsidP="00BC2556">
      <w:pPr>
        <w:pStyle w:val="BodyText"/>
        <w:numPr>
          <w:ilvl w:val="0"/>
          <w:numId w:val="5"/>
        </w:numPr>
        <w:spacing w:before="41"/>
        <w:ind w:left="426" w:hanging="284"/>
      </w:pPr>
      <w:r w:rsidRPr="00BC2556">
        <w:lastRenderedPageBreak/>
        <w:t>Rule of T</w:t>
      </w:r>
      <w:r w:rsidR="00A065E1" w:rsidRPr="00BC2556">
        <w:t>humb 2</w:t>
      </w:r>
    </w:p>
    <w:p w:rsidR="007D3D15" w:rsidRDefault="00A065E1" w:rsidP="00BC2556">
      <w:pPr>
        <w:pStyle w:val="BodyText"/>
        <w:ind w:left="426" w:right="595"/>
        <w:jc w:val="both"/>
      </w:pPr>
      <w:r>
        <w:t>If an income or expense relates to the administration of the club, it is allocated to</w:t>
      </w:r>
      <w:r>
        <w:rPr>
          <w:spacing w:val="-25"/>
        </w:rPr>
        <w:t xml:space="preserve"> </w:t>
      </w:r>
      <w:r>
        <w:t>the Administration Account; if it relates to funds raised from a service project it is allocated to the Service</w:t>
      </w:r>
      <w:r>
        <w:rPr>
          <w:spacing w:val="-4"/>
        </w:rPr>
        <w:t xml:space="preserve"> </w:t>
      </w:r>
      <w:r>
        <w:t>Account.</w:t>
      </w:r>
    </w:p>
    <w:p w:rsidR="007D3D15" w:rsidRDefault="007D3D15">
      <w:pPr>
        <w:pStyle w:val="BodyText"/>
        <w:spacing w:before="11"/>
        <w:rPr>
          <w:sz w:val="23"/>
        </w:rPr>
      </w:pPr>
    </w:p>
    <w:p w:rsidR="007D3D15" w:rsidRPr="00BC2556" w:rsidRDefault="00A065E1" w:rsidP="00BC2556">
      <w:pPr>
        <w:pStyle w:val="BodyText"/>
        <w:numPr>
          <w:ilvl w:val="0"/>
          <w:numId w:val="5"/>
        </w:numPr>
        <w:ind w:left="426" w:hanging="284"/>
      </w:pPr>
      <w:r w:rsidRPr="00BC2556">
        <w:t>Rule of thumb 3</w:t>
      </w:r>
    </w:p>
    <w:p w:rsidR="007D3D15" w:rsidRDefault="00A065E1" w:rsidP="00BC2556">
      <w:pPr>
        <w:pStyle w:val="BodyText"/>
        <w:ind w:left="426" w:right="595"/>
        <w:jc w:val="both"/>
      </w:pPr>
      <w:r>
        <w:t>A club may use funds from the Administration Account for service or charitable purposes, but it</w:t>
      </w:r>
      <w:r>
        <w:rPr>
          <w:u w:val="single"/>
        </w:rPr>
        <w:t xml:space="preserve"> cannot</w:t>
      </w:r>
      <w:r>
        <w:t xml:space="preserve"> use funds from</w:t>
      </w:r>
      <w:r>
        <w:t xml:space="preserve"> the Service Account for the purposes of club administration.</w:t>
      </w:r>
    </w:p>
    <w:p w:rsidR="007D3D15" w:rsidRDefault="007D3D15">
      <w:pPr>
        <w:pStyle w:val="BodyText"/>
        <w:spacing w:before="2"/>
      </w:pPr>
    </w:p>
    <w:p w:rsidR="007D3D15" w:rsidRPr="00BC2556" w:rsidRDefault="00A065E1" w:rsidP="00BC2556">
      <w:pPr>
        <w:pStyle w:val="Heading1"/>
        <w:numPr>
          <w:ilvl w:val="0"/>
          <w:numId w:val="4"/>
        </w:numPr>
        <w:tabs>
          <w:tab w:val="left" w:pos="819"/>
          <w:tab w:val="left" w:pos="820"/>
        </w:tabs>
        <w:rPr>
          <w:u w:val="none"/>
        </w:rPr>
      </w:pPr>
      <w:r w:rsidRPr="00BC2556">
        <w:rPr>
          <w:u w:val="none"/>
        </w:rPr>
        <w:t>Examples</w:t>
      </w:r>
    </w:p>
    <w:p w:rsidR="007D3D15" w:rsidRDefault="007D3D15">
      <w:pPr>
        <w:pStyle w:val="BodyText"/>
        <w:spacing w:before="9"/>
        <w:rPr>
          <w:b/>
          <w:sz w:val="19"/>
        </w:rPr>
      </w:pPr>
    </w:p>
    <w:p w:rsidR="007D3D15" w:rsidRDefault="00A065E1">
      <w:pPr>
        <w:pStyle w:val="BodyText"/>
        <w:spacing w:before="51"/>
        <w:ind w:left="100" w:right="528"/>
      </w:pPr>
      <w:r>
        <w:t>These examples ar</w:t>
      </w:r>
      <w:bookmarkStart w:id="0" w:name="_GoBack"/>
      <w:bookmarkEnd w:id="0"/>
      <w:r>
        <w:t>e intended to guide clubs in situations where the rules of thumb above are open to varying interpretations. These examples are not exhaustive.</w:t>
      </w:r>
    </w:p>
    <w:p w:rsidR="007D3D15" w:rsidRDefault="007D3D15">
      <w:pPr>
        <w:pStyle w:val="BodyText"/>
      </w:pPr>
    </w:p>
    <w:p w:rsidR="007D3D15" w:rsidRDefault="00A065E1">
      <w:pPr>
        <w:pStyle w:val="BodyText"/>
        <w:ind w:left="666"/>
      </w:pPr>
      <w:r>
        <w:rPr>
          <w:rFonts w:ascii="Times New Roman"/>
          <w:spacing w:val="-60"/>
          <w:u w:val="single"/>
        </w:rPr>
        <w:t xml:space="preserve"> </w:t>
      </w:r>
      <w:r>
        <w:rPr>
          <w:u w:val="single"/>
        </w:rPr>
        <w:t>Example 1</w:t>
      </w:r>
    </w:p>
    <w:p w:rsidR="007D3D15" w:rsidRDefault="00A065E1">
      <w:pPr>
        <w:pStyle w:val="BodyText"/>
        <w:ind w:left="666" w:right="593"/>
        <w:jc w:val="both"/>
      </w:pPr>
      <w:r>
        <w:t>No</w:t>
      </w:r>
      <w:r>
        <w:rPr>
          <w:spacing w:val="-6"/>
        </w:rPr>
        <w:t xml:space="preserve"> </w:t>
      </w:r>
      <w:r>
        <w:t>funds</w:t>
      </w:r>
      <w:r>
        <w:rPr>
          <w:spacing w:val="-6"/>
        </w:rPr>
        <w:t xml:space="preserve"> </w:t>
      </w:r>
      <w:r>
        <w:t>r</w:t>
      </w:r>
      <w:r>
        <w:t>aised</w:t>
      </w:r>
      <w:r>
        <w:rPr>
          <w:spacing w:val="-10"/>
        </w:rPr>
        <w:t xml:space="preserve"> </w:t>
      </w:r>
      <w:r>
        <w:t>from</w:t>
      </w:r>
      <w:r>
        <w:rPr>
          <w:spacing w:val="-8"/>
        </w:rPr>
        <w:t xml:space="preserve"> </w:t>
      </w:r>
      <w:r>
        <w:t>service</w:t>
      </w:r>
      <w:r>
        <w:rPr>
          <w:spacing w:val="-8"/>
        </w:rPr>
        <w:t xml:space="preserve"> </w:t>
      </w:r>
      <w:r>
        <w:t>projects</w:t>
      </w:r>
      <w:r>
        <w:rPr>
          <w:spacing w:val="-10"/>
        </w:rPr>
        <w:t xml:space="preserve"> </w:t>
      </w:r>
      <w:r>
        <w:t>can</w:t>
      </w:r>
      <w:r>
        <w:rPr>
          <w:spacing w:val="-10"/>
        </w:rPr>
        <w:t xml:space="preserve"> </w:t>
      </w:r>
      <w:r>
        <w:t>be</w:t>
      </w:r>
      <w:r>
        <w:rPr>
          <w:spacing w:val="-5"/>
        </w:rPr>
        <w:t xml:space="preserve"> </w:t>
      </w:r>
      <w:r>
        <w:t>allocated</w:t>
      </w:r>
      <w:r>
        <w:rPr>
          <w:spacing w:val="-9"/>
        </w:rPr>
        <w:t xml:space="preserve"> </w:t>
      </w:r>
      <w:r>
        <w:t>to</w:t>
      </w:r>
      <w:r>
        <w:rPr>
          <w:spacing w:val="-11"/>
        </w:rPr>
        <w:t xml:space="preserve"> </w:t>
      </w:r>
      <w:r>
        <w:t>the</w:t>
      </w:r>
      <w:r>
        <w:rPr>
          <w:spacing w:val="-8"/>
        </w:rPr>
        <w:t xml:space="preserve"> </w:t>
      </w:r>
      <w:r>
        <w:t>Administration</w:t>
      </w:r>
      <w:r>
        <w:rPr>
          <w:spacing w:val="-8"/>
        </w:rPr>
        <w:t xml:space="preserve"> </w:t>
      </w:r>
      <w:r>
        <w:t>Account</w:t>
      </w:r>
      <w:r>
        <w:rPr>
          <w:spacing w:val="-7"/>
        </w:rPr>
        <w:t xml:space="preserve"> </w:t>
      </w:r>
      <w:r>
        <w:t>as a charge for members (and non-members) efforts in organising or working on a service project.</w:t>
      </w:r>
    </w:p>
    <w:p w:rsidR="007D3D15" w:rsidRDefault="007D3D15">
      <w:pPr>
        <w:pStyle w:val="BodyText"/>
        <w:spacing w:before="11"/>
        <w:rPr>
          <w:sz w:val="23"/>
        </w:rPr>
      </w:pPr>
    </w:p>
    <w:p w:rsidR="007D3D15" w:rsidRDefault="00A065E1">
      <w:pPr>
        <w:pStyle w:val="BodyText"/>
        <w:ind w:left="666"/>
      </w:pPr>
      <w:r>
        <w:rPr>
          <w:rFonts w:ascii="Times New Roman"/>
          <w:spacing w:val="-60"/>
          <w:u w:val="single"/>
        </w:rPr>
        <w:t xml:space="preserve"> </w:t>
      </w:r>
      <w:r>
        <w:rPr>
          <w:u w:val="single"/>
        </w:rPr>
        <w:t>Example 2</w:t>
      </w:r>
    </w:p>
    <w:p w:rsidR="007D3D15" w:rsidRDefault="00A065E1">
      <w:pPr>
        <w:pStyle w:val="BodyText"/>
        <w:ind w:left="666" w:right="594"/>
        <w:jc w:val="both"/>
      </w:pPr>
      <w:r>
        <w:t>Indirect expenses are usually associated with the on-going costs of club assets. A question often asked is whether indirect expenses associated with assets held in the Administration Account for service project purposes can be charged to the Service Accoun</w:t>
      </w:r>
      <w:r>
        <w:t>t. A club’s barbeque trailer is a good example. Indirect expense would include registration and insurance, repairs and maintenance, storage (if not free) and depreciation</w:t>
      </w:r>
      <w:r>
        <w:rPr>
          <w:spacing w:val="-13"/>
        </w:rPr>
        <w:t xml:space="preserve"> </w:t>
      </w:r>
      <w:r>
        <w:t>(if</w:t>
      </w:r>
      <w:r>
        <w:rPr>
          <w:spacing w:val="-10"/>
        </w:rPr>
        <w:t xml:space="preserve"> </w:t>
      </w:r>
      <w:r>
        <w:t>using</w:t>
      </w:r>
      <w:r>
        <w:rPr>
          <w:spacing w:val="-12"/>
        </w:rPr>
        <w:t xml:space="preserve"> </w:t>
      </w:r>
      <w:r>
        <w:t>an</w:t>
      </w:r>
      <w:r>
        <w:rPr>
          <w:spacing w:val="-13"/>
        </w:rPr>
        <w:t xml:space="preserve"> </w:t>
      </w:r>
      <w:r>
        <w:t>accrual</w:t>
      </w:r>
      <w:r>
        <w:rPr>
          <w:spacing w:val="-12"/>
        </w:rPr>
        <w:t xml:space="preserve"> </w:t>
      </w:r>
      <w:r>
        <w:t>accounting</w:t>
      </w:r>
      <w:r>
        <w:rPr>
          <w:spacing w:val="-13"/>
        </w:rPr>
        <w:t xml:space="preserve"> </w:t>
      </w:r>
      <w:r>
        <w:t>system).</w:t>
      </w:r>
      <w:r>
        <w:rPr>
          <w:spacing w:val="-14"/>
        </w:rPr>
        <w:t xml:space="preserve"> </w:t>
      </w:r>
      <w:r>
        <w:t>It</w:t>
      </w:r>
      <w:r>
        <w:rPr>
          <w:spacing w:val="-11"/>
        </w:rPr>
        <w:t xml:space="preserve"> </w:t>
      </w:r>
      <w:r>
        <w:t>is</w:t>
      </w:r>
      <w:r>
        <w:rPr>
          <w:spacing w:val="-12"/>
        </w:rPr>
        <w:t xml:space="preserve"> </w:t>
      </w:r>
      <w:r>
        <w:t>recommended</w:t>
      </w:r>
      <w:r>
        <w:rPr>
          <w:spacing w:val="-13"/>
        </w:rPr>
        <w:t xml:space="preserve"> </w:t>
      </w:r>
      <w:r>
        <w:t>that</w:t>
      </w:r>
      <w:r>
        <w:rPr>
          <w:spacing w:val="-11"/>
        </w:rPr>
        <w:t xml:space="preserve"> </w:t>
      </w:r>
      <w:r>
        <w:t>these</w:t>
      </w:r>
      <w:r>
        <w:rPr>
          <w:spacing w:val="-12"/>
        </w:rPr>
        <w:t xml:space="preserve"> </w:t>
      </w:r>
      <w:r>
        <w:t>costs be met from the Administration Account, and</w:t>
      </w:r>
      <w:r>
        <w:rPr>
          <w:u w:val="single"/>
        </w:rPr>
        <w:t xml:space="preserve"> not</w:t>
      </w:r>
      <w:r>
        <w:t xml:space="preserve"> charged to the Service</w:t>
      </w:r>
      <w:r>
        <w:rPr>
          <w:spacing w:val="-6"/>
        </w:rPr>
        <w:t xml:space="preserve"> </w:t>
      </w:r>
      <w:r>
        <w:t>Account.</w:t>
      </w:r>
    </w:p>
    <w:p w:rsidR="007D3D15" w:rsidRDefault="007D3D15">
      <w:pPr>
        <w:pStyle w:val="BodyText"/>
        <w:spacing w:before="1"/>
        <w:rPr>
          <w:sz w:val="17"/>
        </w:rPr>
      </w:pPr>
    </w:p>
    <w:p w:rsidR="007D3D15" w:rsidRDefault="00A065E1">
      <w:pPr>
        <w:pStyle w:val="BodyText"/>
        <w:spacing w:before="86"/>
        <w:ind w:left="666"/>
      </w:pPr>
      <w:r>
        <w:rPr>
          <w:rFonts w:ascii="Times New Roman"/>
          <w:spacing w:val="-60"/>
          <w:u w:val="single"/>
        </w:rPr>
        <w:t xml:space="preserve"> </w:t>
      </w:r>
      <w:r>
        <w:rPr>
          <w:u w:val="single"/>
        </w:rPr>
        <w:t>Example 3</w:t>
      </w:r>
    </w:p>
    <w:p w:rsidR="007D3D15" w:rsidRDefault="00A065E1">
      <w:pPr>
        <w:pStyle w:val="BodyText"/>
        <w:ind w:left="666" w:right="526"/>
      </w:pPr>
      <w:r>
        <w:t>For assets held in the Service Account, indirect expenses should be allocated to individual service projects on a reasonableness basis where required.</w:t>
      </w:r>
    </w:p>
    <w:p w:rsidR="007D3D15" w:rsidRDefault="007D3D15">
      <w:pPr>
        <w:pStyle w:val="BodyText"/>
        <w:spacing w:before="11"/>
        <w:rPr>
          <w:sz w:val="23"/>
        </w:rPr>
      </w:pPr>
    </w:p>
    <w:p w:rsidR="007D3D15" w:rsidRDefault="00A065E1">
      <w:pPr>
        <w:pStyle w:val="BodyText"/>
        <w:ind w:left="666"/>
      </w:pPr>
      <w:r>
        <w:rPr>
          <w:rFonts w:ascii="Times New Roman"/>
          <w:spacing w:val="-60"/>
          <w:u w:val="single"/>
        </w:rPr>
        <w:t xml:space="preserve"> </w:t>
      </w:r>
      <w:r>
        <w:rPr>
          <w:u w:val="single"/>
        </w:rPr>
        <w:t>Examp</w:t>
      </w:r>
      <w:r>
        <w:rPr>
          <w:u w:val="single"/>
        </w:rPr>
        <w:t>le 4</w:t>
      </w:r>
    </w:p>
    <w:p w:rsidR="007D3D15" w:rsidRDefault="00A065E1">
      <w:pPr>
        <w:pStyle w:val="BodyText"/>
        <w:ind w:left="666" w:right="595"/>
        <w:jc w:val="both"/>
      </w:pPr>
      <w:r>
        <w:t>Funds</w:t>
      </w:r>
      <w:r>
        <w:rPr>
          <w:spacing w:val="-13"/>
        </w:rPr>
        <w:t xml:space="preserve"> </w:t>
      </w:r>
      <w:r>
        <w:t>raised</w:t>
      </w:r>
      <w:r>
        <w:rPr>
          <w:spacing w:val="-11"/>
        </w:rPr>
        <w:t xml:space="preserve"> </w:t>
      </w:r>
      <w:r>
        <w:t>from</w:t>
      </w:r>
      <w:r>
        <w:rPr>
          <w:spacing w:val="-13"/>
        </w:rPr>
        <w:t xml:space="preserve"> </w:t>
      </w:r>
      <w:r>
        <w:t>provision</w:t>
      </w:r>
      <w:r>
        <w:rPr>
          <w:spacing w:val="-12"/>
        </w:rPr>
        <w:t xml:space="preserve"> </w:t>
      </w:r>
      <w:r>
        <w:t>of</w:t>
      </w:r>
      <w:r>
        <w:rPr>
          <w:spacing w:val="-10"/>
        </w:rPr>
        <w:t xml:space="preserve"> </w:t>
      </w:r>
      <w:r>
        <w:t>services</w:t>
      </w:r>
      <w:r>
        <w:rPr>
          <w:spacing w:val="-13"/>
        </w:rPr>
        <w:t xml:space="preserve"> </w:t>
      </w:r>
      <w:r>
        <w:t>to</w:t>
      </w:r>
      <w:r>
        <w:rPr>
          <w:spacing w:val="-12"/>
        </w:rPr>
        <w:t xml:space="preserve"> </w:t>
      </w:r>
      <w:r>
        <w:t>a</w:t>
      </w:r>
      <w:r>
        <w:rPr>
          <w:spacing w:val="-11"/>
        </w:rPr>
        <w:t xml:space="preserve"> </w:t>
      </w:r>
      <w:r>
        <w:t>private</w:t>
      </w:r>
      <w:r>
        <w:rPr>
          <w:spacing w:val="-10"/>
        </w:rPr>
        <w:t xml:space="preserve"> </w:t>
      </w:r>
      <w:r>
        <w:t>function</w:t>
      </w:r>
      <w:r>
        <w:rPr>
          <w:spacing w:val="-11"/>
        </w:rPr>
        <w:t xml:space="preserve"> </w:t>
      </w:r>
      <w:r>
        <w:t>should</w:t>
      </w:r>
      <w:r>
        <w:rPr>
          <w:spacing w:val="-10"/>
        </w:rPr>
        <w:t xml:space="preserve"> </w:t>
      </w:r>
      <w:r>
        <w:t>normally</w:t>
      </w:r>
      <w:r>
        <w:rPr>
          <w:spacing w:val="-9"/>
        </w:rPr>
        <w:t xml:space="preserve"> </w:t>
      </w:r>
      <w:r>
        <w:t>go</w:t>
      </w:r>
      <w:r>
        <w:rPr>
          <w:spacing w:val="-13"/>
        </w:rPr>
        <w:t xml:space="preserve"> </w:t>
      </w:r>
      <w:r>
        <w:t>through the</w:t>
      </w:r>
      <w:r>
        <w:rPr>
          <w:spacing w:val="-10"/>
        </w:rPr>
        <w:t xml:space="preserve"> </w:t>
      </w:r>
      <w:r>
        <w:t>Service</w:t>
      </w:r>
      <w:r>
        <w:rPr>
          <w:spacing w:val="-10"/>
        </w:rPr>
        <w:t xml:space="preserve"> </w:t>
      </w:r>
      <w:r>
        <w:t>Account.</w:t>
      </w:r>
      <w:r>
        <w:rPr>
          <w:spacing w:val="-10"/>
        </w:rPr>
        <w:t xml:space="preserve"> </w:t>
      </w:r>
      <w:r>
        <w:t>The</w:t>
      </w:r>
      <w:r>
        <w:rPr>
          <w:spacing w:val="-10"/>
        </w:rPr>
        <w:t xml:space="preserve"> </w:t>
      </w:r>
      <w:r>
        <w:t>exception</w:t>
      </w:r>
      <w:r>
        <w:rPr>
          <w:spacing w:val="-10"/>
        </w:rPr>
        <w:t xml:space="preserve"> </w:t>
      </w:r>
      <w:r>
        <w:t>is</w:t>
      </w:r>
      <w:r>
        <w:rPr>
          <w:spacing w:val="-7"/>
        </w:rPr>
        <w:t xml:space="preserve"> </w:t>
      </w:r>
      <w:r>
        <w:t>a</w:t>
      </w:r>
      <w:r>
        <w:rPr>
          <w:spacing w:val="-12"/>
        </w:rPr>
        <w:t xml:space="preserve"> </w:t>
      </w:r>
      <w:r>
        <w:t>private</w:t>
      </w:r>
      <w:r>
        <w:rPr>
          <w:spacing w:val="-10"/>
        </w:rPr>
        <w:t xml:space="preserve"> </w:t>
      </w:r>
      <w:r>
        <w:t>function</w:t>
      </w:r>
      <w:r>
        <w:rPr>
          <w:spacing w:val="-8"/>
        </w:rPr>
        <w:t xml:space="preserve"> </w:t>
      </w:r>
      <w:r>
        <w:t>where</w:t>
      </w:r>
      <w:r>
        <w:rPr>
          <w:spacing w:val="-10"/>
        </w:rPr>
        <w:t xml:space="preserve"> </w:t>
      </w:r>
      <w:r>
        <w:t>it</w:t>
      </w:r>
      <w:r>
        <w:rPr>
          <w:spacing w:val="-8"/>
        </w:rPr>
        <w:t xml:space="preserve"> </w:t>
      </w:r>
      <w:r>
        <w:t>is</w:t>
      </w:r>
      <w:r>
        <w:rPr>
          <w:spacing w:val="-9"/>
        </w:rPr>
        <w:t xml:space="preserve"> </w:t>
      </w:r>
      <w:r>
        <w:t>made</w:t>
      </w:r>
      <w:r>
        <w:rPr>
          <w:spacing w:val="-8"/>
        </w:rPr>
        <w:t xml:space="preserve"> </w:t>
      </w:r>
      <w:r>
        <w:t>clear</w:t>
      </w:r>
      <w:r>
        <w:rPr>
          <w:spacing w:val="-8"/>
        </w:rPr>
        <w:t xml:space="preserve"> </w:t>
      </w:r>
      <w:r>
        <w:t>in</w:t>
      </w:r>
      <w:r>
        <w:rPr>
          <w:spacing w:val="-9"/>
        </w:rPr>
        <w:t xml:space="preserve"> </w:t>
      </w:r>
      <w:r>
        <w:t>writing and agreed by those running the function that all moneys will go to the</w:t>
      </w:r>
      <w:r>
        <w:t xml:space="preserve"> administration of the club.</w:t>
      </w:r>
    </w:p>
    <w:p w:rsidR="007D3D15" w:rsidRDefault="007D3D15">
      <w:pPr>
        <w:pStyle w:val="BodyText"/>
        <w:spacing w:before="1"/>
      </w:pPr>
    </w:p>
    <w:p w:rsidR="007D3D15" w:rsidRDefault="00A065E1">
      <w:pPr>
        <w:pStyle w:val="BodyText"/>
        <w:spacing w:before="1"/>
        <w:ind w:left="666"/>
      </w:pPr>
      <w:r>
        <w:rPr>
          <w:rFonts w:ascii="Times New Roman"/>
          <w:spacing w:val="-60"/>
          <w:u w:val="single"/>
        </w:rPr>
        <w:t xml:space="preserve"> </w:t>
      </w:r>
      <w:r>
        <w:rPr>
          <w:u w:val="single"/>
        </w:rPr>
        <w:t>Example 5</w:t>
      </w:r>
    </w:p>
    <w:p w:rsidR="007D3D15" w:rsidRDefault="00A065E1">
      <w:pPr>
        <w:pStyle w:val="BodyText"/>
        <w:ind w:left="666" w:right="594"/>
        <w:jc w:val="both"/>
      </w:pPr>
      <w:r>
        <w:t>A</w:t>
      </w:r>
      <w:r>
        <w:rPr>
          <w:spacing w:val="-4"/>
        </w:rPr>
        <w:t xml:space="preserve"> </w:t>
      </w:r>
      <w:r>
        <w:t>container</w:t>
      </w:r>
      <w:r>
        <w:rPr>
          <w:spacing w:val="-5"/>
        </w:rPr>
        <w:t xml:space="preserve"> </w:t>
      </w:r>
      <w:r>
        <w:t>was</w:t>
      </w:r>
      <w:r>
        <w:rPr>
          <w:spacing w:val="-8"/>
        </w:rPr>
        <w:t xml:space="preserve"> </w:t>
      </w:r>
      <w:r>
        <w:t>purchased</w:t>
      </w:r>
      <w:r>
        <w:rPr>
          <w:spacing w:val="-3"/>
        </w:rPr>
        <w:t xml:space="preserve"> </w:t>
      </w:r>
      <w:r>
        <w:t>to</w:t>
      </w:r>
      <w:r>
        <w:rPr>
          <w:spacing w:val="-5"/>
        </w:rPr>
        <w:t xml:space="preserve"> </w:t>
      </w:r>
      <w:r>
        <w:t>store</w:t>
      </w:r>
      <w:r>
        <w:rPr>
          <w:spacing w:val="-4"/>
        </w:rPr>
        <w:t xml:space="preserve"> </w:t>
      </w:r>
      <w:r>
        <w:t>extra</w:t>
      </w:r>
      <w:r>
        <w:rPr>
          <w:spacing w:val="-5"/>
        </w:rPr>
        <w:t xml:space="preserve"> </w:t>
      </w:r>
      <w:r>
        <w:t>goods</w:t>
      </w:r>
      <w:r>
        <w:rPr>
          <w:spacing w:val="-3"/>
        </w:rPr>
        <w:t xml:space="preserve"> </w:t>
      </w:r>
      <w:r>
        <w:t>for</w:t>
      </w:r>
      <w:r>
        <w:rPr>
          <w:spacing w:val="-3"/>
        </w:rPr>
        <w:t xml:space="preserve"> </w:t>
      </w:r>
      <w:r>
        <w:t>sale</w:t>
      </w:r>
      <w:r>
        <w:rPr>
          <w:spacing w:val="-5"/>
        </w:rPr>
        <w:t xml:space="preserve"> </w:t>
      </w:r>
      <w:r>
        <w:t>for</w:t>
      </w:r>
      <w:r>
        <w:rPr>
          <w:spacing w:val="-5"/>
        </w:rPr>
        <w:t xml:space="preserve"> </w:t>
      </w:r>
      <w:r>
        <w:t>an</w:t>
      </w:r>
      <w:r>
        <w:rPr>
          <w:spacing w:val="-5"/>
        </w:rPr>
        <w:t xml:space="preserve"> </w:t>
      </w:r>
      <w:r>
        <w:t>on-going</w:t>
      </w:r>
      <w:r>
        <w:rPr>
          <w:spacing w:val="-6"/>
        </w:rPr>
        <w:t xml:space="preserve"> </w:t>
      </w:r>
      <w:r>
        <w:t>existing</w:t>
      </w:r>
      <w:r>
        <w:rPr>
          <w:spacing w:val="-3"/>
        </w:rPr>
        <w:t xml:space="preserve"> </w:t>
      </w:r>
      <w:r>
        <w:t xml:space="preserve">service project. It was purchased using existing Service Account funds. No grant was involved, and the cost was greater than could be financed through the Administration Account. The club considered the purchase was not going to impinge on existing levels </w:t>
      </w:r>
      <w:r>
        <w:t>of giving or</w:t>
      </w:r>
      <w:r>
        <w:rPr>
          <w:spacing w:val="-9"/>
        </w:rPr>
        <w:t xml:space="preserve"> </w:t>
      </w:r>
      <w:r>
        <w:t>commitments</w:t>
      </w:r>
      <w:r>
        <w:rPr>
          <w:spacing w:val="-10"/>
        </w:rPr>
        <w:t xml:space="preserve"> </w:t>
      </w:r>
      <w:r>
        <w:t>to</w:t>
      </w:r>
      <w:r>
        <w:rPr>
          <w:spacing w:val="-10"/>
        </w:rPr>
        <w:t xml:space="preserve"> </w:t>
      </w:r>
      <w:r>
        <w:t>the</w:t>
      </w:r>
      <w:r>
        <w:rPr>
          <w:spacing w:val="-10"/>
        </w:rPr>
        <w:t xml:space="preserve"> </w:t>
      </w:r>
      <w:r>
        <w:t>community.</w:t>
      </w:r>
      <w:r>
        <w:rPr>
          <w:spacing w:val="-9"/>
        </w:rPr>
        <w:t xml:space="preserve"> </w:t>
      </w:r>
      <w:r>
        <w:t>The</w:t>
      </w:r>
      <w:r>
        <w:rPr>
          <w:spacing w:val="-10"/>
        </w:rPr>
        <w:t xml:space="preserve"> </w:t>
      </w:r>
      <w:r>
        <w:t>asset</w:t>
      </w:r>
      <w:r>
        <w:rPr>
          <w:spacing w:val="-8"/>
        </w:rPr>
        <w:t xml:space="preserve"> </w:t>
      </w:r>
      <w:r>
        <w:t>is</w:t>
      </w:r>
      <w:r>
        <w:rPr>
          <w:spacing w:val="-11"/>
        </w:rPr>
        <w:t xml:space="preserve"> </w:t>
      </w:r>
      <w:r>
        <w:t>expected</w:t>
      </w:r>
      <w:r>
        <w:rPr>
          <w:spacing w:val="-9"/>
        </w:rPr>
        <w:t xml:space="preserve"> </w:t>
      </w:r>
      <w:r>
        <w:t>to</w:t>
      </w:r>
      <w:r>
        <w:rPr>
          <w:spacing w:val="-8"/>
        </w:rPr>
        <w:t xml:space="preserve"> </w:t>
      </w:r>
      <w:r>
        <w:t>raise</w:t>
      </w:r>
      <w:r>
        <w:rPr>
          <w:spacing w:val="-8"/>
        </w:rPr>
        <w:t xml:space="preserve"> </w:t>
      </w:r>
      <w:r>
        <w:t>substantial</w:t>
      </w:r>
      <w:r>
        <w:rPr>
          <w:spacing w:val="-9"/>
        </w:rPr>
        <w:t xml:space="preserve"> </w:t>
      </w:r>
      <w:r>
        <w:t>additional funds,</w:t>
      </w:r>
      <w:r>
        <w:rPr>
          <w:spacing w:val="-9"/>
        </w:rPr>
        <w:t xml:space="preserve"> </w:t>
      </w:r>
      <w:r>
        <w:t>much</w:t>
      </w:r>
      <w:r>
        <w:rPr>
          <w:spacing w:val="-6"/>
        </w:rPr>
        <w:t xml:space="preserve"> </w:t>
      </w:r>
      <w:r>
        <w:t>more</w:t>
      </w:r>
      <w:r>
        <w:rPr>
          <w:spacing w:val="-8"/>
        </w:rPr>
        <w:t xml:space="preserve"> </w:t>
      </w:r>
      <w:r>
        <w:t>than</w:t>
      </w:r>
      <w:r>
        <w:rPr>
          <w:spacing w:val="-6"/>
        </w:rPr>
        <w:t xml:space="preserve"> </w:t>
      </w:r>
      <w:r>
        <w:t>required</w:t>
      </w:r>
      <w:r>
        <w:rPr>
          <w:spacing w:val="-10"/>
        </w:rPr>
        <w:t xml:space="preserve"> </w:t>
      </w:r>
      <w:r>
        <w:t>to</w:t>
      </w:r>
      <w:r>
        <w:rPr>
          <w:spacing w:val="-6"/>
        </w:rPr>
        <w:t xml:space="preserve"> </w:t>
      </w:r>
      <w:r>
        <w:t>fund</w:t>
      </w:r>
      <w:r>
        <w:rPr>
          <w:spacing w:val="-6"/>
        </w:rPr>
        <w:t xml:space="preserve"> </w:t>
      </w:r>
      <w:r>
        <w:t>the</w:t>
      </w:r>
      <w:r>
        <w:rPr>
          <w:spacing w:val="-8"/>
        </w:rPr>
        <w:t xml:space="preserve"> </w:t>
      </w:r>
      <w:r>
        <w:t>cost</w:t>
      </w:r>
      <w:r>
        <w:rPr>
          <w:spacing w:val="-10"/>
        </w:rPr>
        <w:t xml:space="preserve"> </w:t>
      </w:r>
      <w:r>
        <w:t>of</w:t>
      </w:r>
      <w:r>
        <w:rPr>
          <w:spacing w:val="-4"/>
        </w:rPr>
        <w:t xml:space="preserve"> </w:t>
      </w:r>
      <w:r>
        <w:t>the</w:t>
      </w:r>
      <w:r>
        <w:rPr>
          <w:spacing w:val="-9"/>
        </w:rPr>
        <w:t xml:space="preserve"> </w:t>
      </w:r>
      <w:r>
        <w:t>container.</w:t>
      </w:r>
      <w:r>
        <w:rPr>
          <w:spacing w:val="-8"/>
        </w:rPr>
        <w:t xml:space="preserve"> </w:t>
      </w:r>
      <w:r>
        <w:t>District</w:t>
      </w:r>
      <w:r>
        <w:rPr>
          <w:spacing w:val="-10"/>
        </w:rPr>
        <w:t xml:space="preserve"> </w:t>
      </w:r>
      <w:r>
        <w:t>is</w:t>
      </w:r>
      <w:r>
        <w:rPr>
          <w:spacing w:val="-8"/>
        </w:rPr>
        <w:t xml:space="preserve"> </w:t>
      </w:r>
      <w:r>
        <w:t>of</w:t>
      </w:r>
      <w:r>
        <w:rPr>
          <w:spacing w:val="-6"/>
        </w:rPr>
        <w:t xml:space="preserve"> </w:t>
      </w:r>
      <w:r>
        <w:t>the</w:t>
      </w:r>
      <w:r>
        <w:rPr>
          <w:spacing w:val="-6"/>
        </w:rPr>
        <w:t xml:space="preserve"> </w:t>
      </w:r>
      <w:r>
        <w:t>view</w:t>
      </w:r>
    </w:p>
    <w:p w:rsidR="007D3D15" w:rsidRDefault="007D3D15">
      <w:pPr>
        <w:jc w:val="both"/>
        <w:sectPr w:rsidR="007D3D15">
          <w:pgSz w:w="11910" w:h="16840"/>
          <w:pgMar w:top="1380" w:right="840" w:bottom="280" w:left="1340" w:header="720" w:footer="720" w:gutter="0"/>
          <w:cols w:space="720"/>
        </w:sectPr>
      </w:pPr>
    </w:p>
    <w:p w:rsidR="007D3D15" w:rsidRDefault="00A065E1">
      <w:pPr>
        <w:pStyle w:val="BodyText"/>
        <w:spacing w:before="41"/>
        <w:ind w:left="666"/>
      </w:pPr>
      <w:r>
        <w:lastRenderedPageBreak/>
        <w:t>that it is reasonable to purchase the container as a Se</w:t>
      </w:r>
      <w:r>
        <w:t>rvice Account asset and charge depreciation (if using an accrual accounting system) to the Service Account.</w:t>
      </w:r>
    </w:p>
    <w:p w:rsidR="007D3D15" w:rsidRDefault="007D3D15">
      <w:pPr>
        <w:pStyle w:val="BodyText"/>
        <w:spacing w:before="11"/>
        <w:rPr>
          <w:sz w:val="23"/>
        </w:rPr>
      </w:pPr>
    </w:p>
    <w:p w:rsidR="007D3D15" w:rsidRDefault="00A065E1">
      <w:pPr>
        <w:pStyle w:val="BodyText"/>
        <w:ind w:left="666"/>
      </w:pPr>
      <w:r>
        <w:rPr>
          <w:rFonts w:ascii="Times New Roman"/>
          <w:spacing w:val="-60"/>
          <w:u w:val="single"/>
        </w:rPr>
        <w:t xml:space="preserve"> </w:t>
      </w:r>
      <w:r>
        <w:rPr>
          <w:u w:val="single"/>
        </w:rPr>
        <w:t>Example 6</w:t>
      </w:r>
    </w:p>
    <w:p w:rsidR="007D3D15" w:rsidRDefault="00A065E1">
      <w:pPr>
        <w:pStyle w:val="BodyText"/>
        <w:ind w:left="666" w:right="593"/>
        <w:jc w:val="both"/>
      </w:pPr>
      <w:r>
        <w:t xml:space="preserve">The community service project was financed by sponsorship and budgeted to break even. It was made clear to the sponsors that any surplus would be transferred to the club Administration Account. District would prefer no such agreement with the sponsors and </w:t>
      </w:r>
      <w:r>
        <w:t>any surplus be donated back through the community.</w:t>
      </w:r>
    </w:p>
    <w:p w:rsidR="007D3D15" w:rsidRDefault="007D3D15">
      <w:pPr>
        <w:pStyle w:val="BodyText"/>
        <w:spacing w:before="2"/>
      </w:pPr>
    </w:p>
    <w:p w:rsidR="007D3D15" w:rsidRDefault="00A065E1" w:rsidP="00BC2556">
      <w:pPr>
        <w:pStyle w:val="ListParagraph"/>
        <w:numPr>
          <w:ilvl w:val="0"/>
          <w:numId w:val="4"/>
        </w:numPr>
        <w:tabs>
          <w:tab w:val="left" w:pos="819"/>
          <w:tab w:val="left" w:pos="820"/>
        </w:tabs>
        <w:rPr>
          <w:b/>
          <w:sz w:val="24"/>
        </w:rPr>
      </w:pPr>
      <w:r>
        <w:rPr>
          <w:b/>
          <w:sz w:val="24"/>
        </w:rPr>
        <w:t>Not following</w:t>
      </w:r>
      <w:r>
        <w:rPr>
          <w:b/>
          <w:spacing w:val="3"/>
          <w:sz w:val="24"/>
        </w:rPr>
        <w:t xml:space="preserve"> </w:t>
      </w:r>
      <w:r>
        <w:rPr>
          <w:b/>
          <w:sz w:val="24"/>
        </w:rPr>
        <w:t>Guidelines</w:t>
      </w:r>
    </w:p>
    <w:p w:rsidR="007D3D15" w:rsidRDefault="007D3D15">
      <w:pPr>
        <w:pStyle w:val="BodyText"/>
        <w:spacing w:before="12"/>
        <w:rPr>
          <w:b/>
          <w:sz w:val="23"/>
        </w:rPr>
      </w:pPr>
    </w:p>
    <w:p w:rsidR="007D3D15" w:rsidRDefault="00A065E1">
      <w:pPr>
        <w:pStyle w:val="BodyText"/>
        <w:ind w:left="100" w:right="598"/>
        <w:jc w:val="both"/>
      </w:pPr>
      <w:r>
        <w:t xml:space="preserve">It is recommended that clubs follow the guidelines and recommendations above. When deciding </w:t>
      </w:r>
      <w:r>
        <w:rPr>
          <w:spacing w:val="-126"/>
          <w:u w:val="single"/>
        </w:rPr>
        <w:t>n</w:t>
      </w:r>
      <w:r>
        <w:rPr>
          <w:spacing w:val="74"/>
        </w:rPr>
        <w:t xml:space="preserve"> </w:t>
      </w:r>
      <w:r>
        <w:rPr>
          <w:u w:val="single"/>
        </w:rPr>
        <w:t>ot</w:t>
      </w:r>
      <w:r>
        <w:t xml:space="preserve"> to follow the guidelines, a club must document its decision including</w:t>
      </w:r>
    </w:p>
    <w:p w:rsidR="007D3D15" w:rsidRDefault="00A065E1" w:rsidP="00BC2556">
      <w:pPr>
        <w:pStyle w:val="ListParagraph"/>
        <w:numPr>
          <w:ilvl w:val="1"/>
          <w:numId w:val="4"/>
        </w:numPr>
        <w:tabs>
          <w:tab w:val="left" w:pos="820"/>
        </w:tabs>
        <w:spacing w:line="304" w:lineRule="exact"/>
        <w:jc w:val="both"/>
        <w:rPr>
          <w:sz w:val="24"/>
        </w:rPr>
      </w:pPr>
      <w:r>
        <w:rPr>
          <w:sz w:val="24"/>
        </w:rPr>
        <w:t>an assessment of the risk to the Rotary</w:t>
      </w:r>
      <w:r>
        <w:rPr>
          <w:spacing w:val="2"/>
          <w:sz w:val="24"/>
        </w:rPr>
        <w:t xml:space="preserve"> </w:t>
      </w:r>
      <w:r>
        <w:rPr>
          <w:sz w:val="24"/>
        </w:rPr>
        <w:t>brand</w:t>
      </w:r>
    </w:p>
    <w:p w:rsidR="007D3D15" w:rsidRDefault="00A065E1" w:rsidP="00BC2556">
      <w:pPr>
        <w:pStyle w:val="ListParagraph"/>
        <w:numPr>
          <w:ilvl w:val="1"/>
          <w:numId w:val="4"/>
        </w:numPr>
        <w:tabs>
          <w:tab w:val="left" w:pos="820"/>
        </w:tabs>
        <w:spacing w:line="305" w:lineRule="exact"/>
        <w:jc w:val="both"/>
        <w:rPr>
          <w:sz w:val="24"/>
        </w:rPr>
      </w:pPr>
      <w:r>
        <w:rPr>
          <w:sz w:val="24"/>
        </w:rPr>
        <w:t>its compliance with</w:t>
      </w:r>
      <w:r>
        <w:rPr>
          <w:spacing w:val="-2"/>
          <w:sz w:val="24"/>
        </w:rPr>
        <w:t xml:space="preserve"> </w:t>
      </w:r>
      <w:r>
        <w:rPr>
          <w:sz w:val="24"/>
        </w:rPr>
        <w:t>legislation</w:t>
      </w:r>
    </w:p>
    <w:p w:rsidR="007D3D15" w:rsidRDefault="00A065E1" w:rsidP="00BC2556">
      <w:pPr>
        <w:pStyle w:val="ListParagraph"/>
        <w:numPr>
          <w:ilvl w:val="1"/>
          <w:numId w:val="4"/>
        </w:numPr>
        <w:tabs>
          <w:tab w:val="left" w:pos="820"/>
        </w:tabs>
        <w:spacing w:before="1"/>
        <w:ind w:right="594"/>
        <w:jc w:val="both"/>
        <w:rPr>
          <w:sz w:val="24"/>
        </w:rPr>
      </w:pPr>
      <w:r>
        <w:rPr>
          <w:sz w:val="24"/>
        </w:rPr>
        <w:t xml:space="preserve">that expenses are reasonable and proportional, particularly indirect expenses. As a guide indirect expenses should not be more than 30% of direct expenses and total expenses not </w:t>
      </w:r>
      <w:r>
        <w:rPr>
          <w:sz w:val="24"/>
        </w:rPr>
        <w:t>more than 50% of gross</w:t>
      </w:r>
      <w:r>
        <w:rPr>
          <w:spacing w:val="-7"/>
          <w:sz w:val="24"/>
        </w:rPr>
        <w:t xml:space="preserve"> </w:t>
      </w:r>
      <w:r>
        <w:rPr>
          <w:sz w:val="24"/>
        </w:rPr>
        <w:t>income.</w:t>
      </w:r>
    </w:p>
    <w:sectPr w:rsidR="007D3D15">
      <w:pgSz w:w="11910" w:h="16840"/>
      <w:pgMar w:top="1380" w:right="8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F5388"/>
    <w:multiLevelType w:val="hybridMultilevel"/>
    <w:tmpl w:val="2C32D27C"/>
    <w:lvl w:ilvl="0" w:tplc="4456E75A">
      <w:start w:val="1"/>
      <w:numFmt w:val="decimal"/>
      <w:lvlText w:val="%1."/>
      <w:lvlJc w:val="left"/>
      <w:pPr>
        <w:ind w:left="459" w:hanging="360"/>
      </w:pPr>
      <w:rPr>
        <w:rFonts w:hint="default"/>
      </w:rPr>
    </w:lvl>
    <w:lvl w:ilvl="1" w:tplc="0C090019">
      <w:start w:val="1"/>
      <w:numFmt w:val="lowerLetter"/>
      <w:lvlText w:val="%2."/>
      <w:lvlJc w:val="left"/>
      <w:pPr>
        <w:ind w:left="1179" w:hanging="360"/>
      </w:pPr>
    </w:lvl>
    <w:lvl w:ilvl="2" w:tplc="0C09001B" w:tentative="1">
      <w:start w:val="1"/>
      <w:numFmt w:val="lowerRoman"/>
      <w:lvlText w:val="%3."/>
      <w:lvlJc w:val="right"/>
      <w:pPr>
        <w:ind w:left="1899" w:hanging="180"/>
      </w:pPr>
    </w:lvl>
    <w:lvl w:ilvl="3" w:tplc="0C09000F" w:tentative="1">
      <w:start w:val="1"/>
      <w:numFmt w:val="decimal"/>
      <w:lvlText w:val="%4."/>
      <w:lvlJc w:val="left"/>
      <w:pPr>
        <w:ind w:left="2619" w:hanging="360"/>
      </w:pPr>
    </w:lvl>
    <w:lvl w:ilvl="4" w:tplc="0C090019" w:tentative="1">
      <w:start w:val="1"/>
      <w:numFmt w:val="lowerLetter"/>
      <w:lvlText w:val="%5."/>
      <w:lvlJc w:val="left"/>
      <w:pPr>
        <w:ind w:left="3339" w:hanging="360"/>
      </w:pPr>
    </w:lvl>
    <w:lvl w:ilvl="5" w:tplc="0C09001B" w:tentative="1">
      <w:start w:val="1"/>
      <w:numFmt w:val="lowerRoman"/>
      <w:lvlText w:val="%6."/>
      <w:lvlJc w:val="right"/>
      <w:pPr>
        <w:ind w:left="4059" w:hanging="180"/>
      </w:pPr>
    </w:lvl>
    <w:lvl w:ilvl="6" w:tplc="0C09000F" w:tentative="1">
      <w:start w:val="1"/>
      <w:numFmt w:val="decimal"/>
      <w:lvlText w:val="%7."/>
      <w:lvlJc w:val="left"/>
      <w:pPr>
        <w:ind w:left="4779" w:hanging="360"/>
      </w:pPr>
    </w:lvl>
    <w:lvl w:ilvl="7" w:tplc="0C090019" w:tentative="1">
      <w:start w:val="1"/>
      <w:numFmt w:val="lowerLetter"/>
      <w:lvlText w:val="%8."/>
      <w:lvlJc w:val="left"/>
      <w:pPr>
        <w:ind w:left="5499" w:hanging="360"/>
      </w:pPr>
    </w:lvl>
    <w:lvl w:ilvl="8" w:tplc="0C09001B" w:tentative="1">
      <w:start w:val="1"/>
      <w:numFmt w:val="lowerRoman"/>
      <w:lvlText w:val="%9."/>
      <w:lvlJc w:val="right"/>
      <w:pPr>
        <w:ind w:left="6219" w:hanging="180"/>
      </w:pPr>
    </w:lvl>
  </w:abstractNum>
  <w:abstractNum w:abstractNumId="1">
    <w:nsid w:val="541A40FD"/>
    <w:multiLevelType w:val="hybridMultilevel"/>
    <w:tmpl w:val="AE44044C"/>
    <w:lvl w:ilvl="0" w:tplc="0C090001">
      <w:start w:val="1"/>
      <w:numFmt w:val="bullet"/>
      <w:lvlText w:val=""/>
      <w:lvlJc w:val="left"/>
      <w:pPr>
        <w:ind w:left="1108" w:hanging="360"/>
      </w:pPr>
      <w:rPr>
        <w:rFonts w:ascii="Symbol" w:hAnsi="Symbol" w:hint="default"/>
      </w:rPr>
    </w:lvl>
    <w:lvl w:ilvl="1" w:tplc="0C090003" w:tentative="1">
      <w:start w:val="1"/>
      <w:numFmt w:val="bullet"/>
      <w:lvlText w:val="o"/>
      <w:lvlJc w:val="left"/>
      <w:pPr>
        <w:ind w:left="1828" w:hanging="360"/>
      </w:pPr>
      <w:rPr>
        <w:rFonts w:ascii="Courier New" w:hAnsi="Courier New" w:cs="Courier New" w:hint="default"/>
      </w:rPr>
    </w:lvl>
    <w:lvl w:ilvl="2" w:tplc="0C090005" w:tentative="1">
      <w:start w:val="1"/>
      <w:numFmt w:val="bullet"/>
      <w:lvlText w:val=""/>
      <w:lvlJc w:val="left"/>
      <w:pPr>
        <w:ind w:left="2548" w:hanging="360"/>
      </w:pPr>
      <w:rPr>
        <w:rFonts w:ascii="Wingdings" w:hAnsi="Wingdings" w:hint="default"/>
      </w:rPr>
    </w:lvl>
    <w:lvl w:ilvl="3" w:tplc="0C090001" w:tentative="1">
      <w:start w:val="1"/>
      <w:numFmt w:val="bullet"/>
      <w:lvlText w:val=""/>
      <w:lvlJc w:val="left"/>
      <w:pPr>
        <w:ind w:left="3268" w:hanging="360"/>
      </w:pPr>
      <w:rPr>
        <w:rFonts w:ascii="Symbol" w:hAnsi="Symbol" w:hint="default"/>
      </w:rPr>
    </w:lvl>
    <w:lvl w:ilvl="4" w:tplc="0C090003" w:tentative="1">
      <w:start w:val="1"/>
      <w:numFmt w:val="bullet"/>
      <w:lvlText w:val="o"/>
      <w:lvlJc w:val="left"/>
      <w:pPr>
        <w:ind w:left="3988" w:hanging="360"/>
      </w:pPr>
      <w:rPr>
        <w:rFonts w:ascii="Courier New" w:hAnsi="Courier New" w:cs="Courier New" w:hint="default"/>
      </w:rPr>
    </w:lvl>
    <w:lvl w:ilvl="5" w:tplc="0C090005" w:tentative="1">
      <w:start w:val="1"/>
      <w:numFmt w:val="bullet"/>
      <w:lvlText w:val=""/>
      <w:lvlJc w:val="left"/>
      <w:pPr>
        <w:ind w:left="4708" w:hanging="360"/>
      </w:pPr>
      <w:rPr>
        <w:rFonts w:ascii="Wingdings" w:hAnsi="Wingdings" w:hint="default"/>
      </w:rPr>
    </w:lvl>
    <w:lvl w:ilvl="6" w:tplc="0C090001" w:tentative="1">
      <w:start w:val="1"/>
      <w:numFmt w:val="bullet"/>
      <w:lvlText w:val=""/>
      <w:lvlJc w:val="left"/>
      <w:pPr>
        <w:ind w:left="5428" w:hanging="360"/>
      </w:pPr>
      <w:rPr>
        <w:rFonts w:ascii="Symbol" w:hAnsi="Symbol" w:hint="default"/>
      </w:rPr>
    </w:lvl>
    <w:lvl w:ilvl="7" w:tplc="0C090003" w:tentative="1">
      <w:start w:val="1"/>
      <w:numFmt w:val="bullet"/>
      <w:lvlText w:val="o"/>
      <w:lvlJc w:val="left"/>
      <w:pPr>
        <w:ind w:left="6148" w:hanging="360"/>
      </w:pPr>
      <w:rPr>
        <w:rFonts w:ascii="Courier New" w:hAnsi="Courier New" w:cs="Courier New" w:hint="default"/>
      </w:rPr>
    </w:lvl>
    <w:lvl w:ilvl="8" w:tplc="0C090005" w:tentative="1">
      <w:start w:val="1"/>
      <w:numFmt w:val="bullet"/>
      <w:lvlText w:val=""/>
      <w:lvlJc w:val="left"/>
      <w:pPr>
        <w:ind w:left="6868" w:hanging="360"/>
      </w:pPr>
      <w:rPr>
        <w:rFonts w:ascii="Wingdings" w:hAnsi="Wingdings" w:hint="default"/>
      </w:rPr>
    </w:lvl>
  </w:abstractNum>
  <w:abstractNum w:abstractNumId="2">
    <w:nsid w:val="681F3B7B"/>
    <w:multiLevelType w:val="hybridMultilevel"/>
    <w:tmpl w:val="7CA6581E"/>
    <w:lvl w:ilvl="0" w:tplc="FD7E970E">
      <w:start w:val="1"/>
      <w:numFmt w:val="decimal"/>
      <w:lvlText w:val="%1."/>
      <w:lvlJc w:val="left"/>
      <w:pPr>
        <w:ind w:left="459" w:hanging="360"/>
      </w:pPr>
      <w:rPr>
        <w:rFonts w:hint="default"/>
        <w:u w:val="single"/>
      </w:rPr>
    </w:lvl>
    <w:lvl w:ilvl="1" w:tplc="0C090019" w:tentative="1">
      <w:start w:val="1"/>
      <w:numFmt w:val="lowerLetter"/>
      <w:lvlText w:val="%2."/>
      <w:lvlJc w:val="left"/>
      <w:pPr>
        <w:ind w:left="1179" w:hanging="360"/>
      </w:pPr>
    </w:lvl>
    <w:lvl w:ilvl="2" w:tplc="0C09001B" w:tentative="1">
      <w:start w:val="1"/>
      <w:numFmt w:val="lowerRoman"/>
      <w:lvlText w:val="%3."/>
      <w:lvlJc w:val="right"/>
      <w:pPr>
        <w:ind w:left="1899" w:hanging="180"/>
      </w:pPr>
    </w:lvl>
    <w:lvl w:ilvl="3" w:tplc="0C09000F" w:tentative="1">
      <w:start w:val="1"/>
      <w:numFmt w:val="decimal"/>
      <w:lvlText w:val="%4."/>
      <w:lvlJc w:val="left"/>
      <w:pPr>
        <w:ind w:left="2619" w:hanging="360"/>
      </w:pPr>
    </w:lvl>
    <w:lvl w:ilvl="4" w:tplc="0C090019" w:tentative="1">
      <w:start w:val="1"/>
      <w:numFmt w:val="lowerLetter"/>
      <w:lvlText w:val="%5."/>
      <w:lvlJc w:val="left"/>
      <w:pPr>
        <w:ind w:left="3339" w:hanging="360"/>
      </w:pPr>
    </w:lvl>
    <w:lvl w:ilvl="5" w:tplc="0C09001B" w:tentative="1">
      <w:start w:val="1"/>
      <w:numFmt w:val="lowerRoman"/>
      <w:lvlText w:val="%6."/>
      <w:lvlJc w:val="right"/>
      <w:pPr>
        <w:ind w:left="4059" w:hanging="180"/>
      </w:pPr>
    </w:lvl>
    <w:lvl w:ilvl="6" w:tplc="0C09000F" w:tentative="1">
      <w:start w:val="1"/>
      <w:numFmt w:val="decimal"/>
      <w:lvlText w:val="%7."/>
      <w:lvlJc w:val="left"/>
      <w:pPr>
        <w:ind w:left="4779" w:hanging="360"/>
      </w:pPr>
    </w:lvl>
    <w:lvl w:ilvl="7" w:tplc="0C090019" w:tentative="1">
      <w:start w:val="1"/>
      <w:numFmt w:val="lowerLetter"/>
      <w:lvlText w:val="%8."/>
      <w:lvlJc w:val="left"/>
      <w:pPr>
        <w:ind w:left="5499" w:hanging="360"/>
      </w:pPr>
    </w:lvl>
    <w:lvl w:ilvl="8" w:tplc="0C09001B" w:tentative="1">
      <w:start w:val="1"/>
      <w:numFmt w:val="lowerRoman"/>
      <w:lvlText w:val="%9."/>
      <w:lvlJc w:val="right"/>
      <w:pPr>
        <w:ind w:left="6219" w:hanging="180"/>
      </w:pPr>
    </w:lvl>
  </w:abstractNum>
  <w:abstractNum w:abstractNumId="3">
    <w:nsid w:val="6D6B6E40"/>
    <w:multiLevelType w:val="hybridMultilevel"/>
    <w:tmpl w:val="9C423C66"/>
    <w:lvl w:ilvl="0" w:tplc="6AD28C8E">
      <w:start w:val="1"/>
      <w:numFmt w:val="decimal"/>
      <w:lvlText w:val="(%1)"/>
      <w:lvlJc w:val="left"/>
      <w:pPr>
        <w:ind w:left="666" w:hanging="318"/>
      </w:pPr>
      <w:rPr>
        <w:rFonts w:ascii="Calibri" w:eastAsia="Calibri" w:hAnsi="Calibri" w:cs="Calibri" w:hint="default"/>
        <w:i/>
        <w:w w:val="100"/>
        <w:sz w:val="24"/>
        <w:szCs w:val="24"/>
      </w:rPr>
    </w:lvl>
    <w:lvl w:ilvl="1" w:tplc="B62AFC9E">
      <w:numFmt w:val="bullet"/>
      <w:lvlText w:val="•"/>
      <w:lvlJc w:val="left"/>
      <w:pPr>
        <w:ind w:left="1566" w:hanging="318"/>
      </w:pPr>
      <w:rPr>
        <w:rFonts w:hint="default"/>
      </w:rPr>
    </w:lvl>
    <w:lvl w:ilvl="2" w:tplc="F84E6468">
      <w:numFmt w:val="bullet"/>
      <w:lvlText w:val="•"/>
      <w:lvlJc w:val="left"/>
      <w:pPr>
        <w:ind w:left="2473" w:hanging="318"/>
      </w:pPr>
      <w:rPr>
        <w:rFonts w:hint="default"/>
      </w:rPr>
    </w:lvl>
    <w:lvl w:ilvl="3" w:tplc="6FAA462E">
      <w:numFmt w:val="bullet"/>
      <w:lvlText w:val="•"/>
      <w:lvlJc w:val="left"/>
      <w:pPr>
        <w:ind w:left="3379" w:hanging="318"/>
      </w:pPr>
      <w:rPr>
        <w:rFonts w:hint="default"/>
      </w:rPr>
    </w:lvl>
    <w:lvl w:ilvl="4" w:tplc="ADF6260C">
      <w:numFmt w:val="bullet"/>
      <w:lvlText w:val="•"/>
      <w:lvlJc w:val="left"/>
      <w:pPr>
        <w:ind w:left="4286" w:hanging="318"/>
      </w:pPr>
      <w:rPr>
        <w:rFonts w:hint="default"/>
      </w:rPr>
    </w:lvl>
    <w:lvl w:ilvl="5" w:tplc="E08E40AC">
      <w:numFmt w:val="bullet"/>
      <w:lvlText w:val="•"/>
      <w:lvlJc w:val="left"/>
      <w:pPr>
        <w:ind w:left="5193" w:hanging="318"/>
      </w:pPr>
      <w:rPr>
        <w:rFonts w:hint="default"/>
      </w:rPr>
    </w:lvl>
    <w:lvl w:ilvl="6" w:tplc="69869F0E">
      <w:numFmt w:val="bullet"/>
      <w:lvlText w:val="•"/>
      <w:lvlJc w:val="left"/>
      <w:pPr>
        <w:ind w:left="6099" w:hanging="318"/>
      </w:pPr>
      <w:rPr>
        <w:rFonts w:hint="default"/>
      </w:rPr>
    </w:lvl>
    <w:lvl w:ilvl="7" w:tplc="68700428">
      <w:numFmt w:val="bullet"/>
      <w:lvlText w:val="•"/>
      <w:lvlJc w:val="left"/>
      <w:pPr>
        <w:ind w:left="7006" w:hanging="318"/>
      </w:pPr>
      <w:rPr>
        <w:rFonts w:hint="default"/>
      </w:rPr>
    </w:lvl>
    <w:lvl w:ilvl="8" w:tplc="CE88B5C6">
      <w:numFmt w:val="bullet"/>
      <w:lvlText w:val="•"/>
      <w:lvlJc w:val="left"/>
      <w:pPr>
        <w:ind w:left="7913" w:hanging="318"/>
      </w:pPr>
      <w:rPr>
        <w:rFonts w:hint="default"/>
      </w:rPr>
    </w:lvl>
  </w:abstractNum>
  <w:abstractNum w:abstractNumId="4">
    <w:nsid w:val="7EEC04E8"/>
    <w:multiLevelType w:val="hybridMultilevel"/>
    <w:tmpl w:val="E8E657F2"/>
    <w:lvl w:ilvl="0" w:tplc="34BC8204">
      <w:start w:val="1"/>
      <w:numFmt w:val="decimal"/>
      <w:lvlText w:val="%1"/>
      <w:lvlJc w:val="left"/>
      <w:pPr>
        <w:ind w:left="819" w:hanging="720"/>
      </w:pPr>
      <w:rPr>
        <w:rFonts w:hint="default"/>
        <w:b/>
        <w:bCs/>
        <w:w w:val="100"/>
        <w:u w:val="single" w:color="000000"/>
      </w:rPr>
    </w:lvl>
    <w:lvl w:ilvl="1" w:tplc="7B24B2B0">
      <w:numFmt w:val="bullet"/>
      <w:lvlText w:val=""/>
      <w:lvlJc w:val="left"/>
      <w:pPr>
        <w:ind w:left="820" w:hanging="360"/>
      </w:pPr>
      <w:rPr>
        <w:rFonts w:ascii="Symbol" w:eastAsia="Symbol" w:hAnsi="Symbol" w:cs="Symbol" w:hint="default"/>
        <w:w w:val="100"/>
        <w:sz w:val="24"/>
        <w:szCs w:val="24"/>
      </w:rPr>
    </w:lvl>
    <w:lvl w:ilvl="2" w:tplc="B454A258">
      <w:numFmt w:val="bullet"/>
      <w:lvlText w:val="•"/>
      <w:lvlJc w:val="left"/>
      <w:pPr>
        <w:ind w:left="1880" w:hanging="360"/>
      </w:pPr>
      <w:rPr>
        <w:rFonts w:hint="default"/>
      </w:rPr>
    </w:lvl>
    <w:lvl w:ilvl="3" w:tplc="825EBA9C">
      <w:numFmt w:val="bullet"/>
      <w:lvlText w:val="•"/>
      <w:lvlJc w:val="left"/>
      <w:pPr>
        <w:ind w:left="2861" w:hanging="360"/>
      </w:pPr>
      <w:rPr>
        <w:rFonts w:hint="default"/>
      </w:rPr>
    </w:lvl>
    <w:lvl w:ilvl="4" w:tplc="A67C55B2">
      <w:numFmt w:val="bullet"/>
      <w:lvlText w:val="•"/>
      <w:lvlJc w:val="left"/>
      <w:pPr>
        <w:ind w:left="3842" w:hanging="360"/>
      </w:pPr>
      <w:rPr>
        <w:rFonts w:hint="default"/>
      </w:rPr>
    </w:lvl>
    <w:lvl w:ilvl="5" w:tplc="114282FC">
      <w:numFmt w:val="bullet"/>
      <w:lvlText w:val="•"/>
      <w:lvlJc w:val="left"/>
      <w:pPr>
        <w:ind w:left="4822" w:hanging="360"/>
      </w:pPr>
      <w:rPr>
        <w:rFonts w:hint="default"/>
      </w:rPr>
    </w:lvl>
    <w:lvl w:ilvl="6" w:tplc="630898C2">
      <w:numFmt w:val="bullet"/>
      <w:lvlText w:val="•"/>
      <w:lvlJc w:val="left"/>
      <w:pPr>
        <w:ind w:left="5803" w:hanging="360"/>
      </w:pPr>
      <w:rPr>
        <w:rFonts w:hint="default"/>
      </w:rPr>
    </w:lvl>
    <w:lvl w:ilvl="7" w:tplc="EDDCB262">
      <w:numFmt w:val="bullet"/>
      <w:lvlText w:val="•"/>
      <w:lvlJc w:val="left"/>
      <w:pPr>
        <w:ind w:left="6784" w:hanging="360"/>
      </w:pPr>
      <w:rPr>
        <w:rFonts w:hint="default"/>
      </w:rPr>
    </w:lvl>
    <w:lvl w:ilvl="8" w:tplc="DA847730">
      <w:numFmt w:val="bullet"/>
      <w:lvlText w:val="•"/>
      <w:lvlJc w:val="left"/>
      <w:pPr>
        <w:ind w:left="7764"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15"/>
    <w:rsid w:val="007D3D15"/>
    <w:rsid w:val="00A065E1"/>
    <w:rsid w:val="00BC25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19"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right="498"/>
      <w:jc w:val="center"/>
    </w:pPr>
    <w:rPr>
      <w:b/>
      <w:bCs/>
      <w:sz w:val="28"/>
      <w:szCs w:val="28"/>
      <w:u w:val="single" w:color="000000"/>
    </w:rPr>
  </w:style>
  <w:style w:type="paragraph" w:styleId="ListParagraph">
    <w:name w:val="List Paragraph"/>
    <w:basedOn w:val="Normal"/>
    <w:uiPriority w:val="1"/>
    <w:qFormat/>
    <w:pPr>
      <w:ind w:left="81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2556"/>
    <w:rPr>
      <w:rFonts w:ascii="Tahoma" w:hAnsi="Tahoma" w:cs="Tahoma"/>
      <w:sz w:val="16"/>
      <w:szCs w:val="16"/>
    </w:rPr>
  </w:style>
  <w:style w:type="character" w:customStyle="1" w:styleId="BalloonTextChar">
    <w:name w:val="Balloon Text Char"/>
    <w:basedOn w:val="DefaultParagraphFont"/>
    <w:link w:val="BalloonText"/>
    <w:uiPriority w:val="99"/>
    <w:semiHidden/>
    <w:rsid w:val="00BC255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19"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right="498"/>
      <w:jc w:val="center"/>
    </w:pPr>
    <w:rPr>
      <w:b/>
      <w:bCs/>
      <w:sz w:val="28"/>
      <w:szCs w:val="28"/>
      <w:u w:val="single" w:color="000000"/>
    </w:rPr>
  </w:style>
  <w:style w:type="paragraph" w:styleId="ListParagraph">
    <w:name w:val="List Paragraph"/>
    <w:basedOn w:val="Normal"/>
    <w:uiPriority w:val="1"/>
    <w:qFormat/>
    <w:pPr>
      <w:ind w:left="81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2556"/>
    <w:rPr>
      <w:rFonts w:ascii="Tahoma" w:hAnsi="Tahoma" w:cs="Tahoma"/>
      <w:sz w:val="16"/>
      <w:szCs w:val="16"/>
    </w:rPr>
  </w:style>
  <w:style w:type="character" w:customStyle="1" w:styleId="BalloonTextChar">
    <w:name w:val="Balloon Text Char"/>
    <w:basedOn w:val="DefaultParagraphFont"/>
    <w:link w:val="BalloonText"/>
    <w:uiPriority w:val="99"/>
    <w:semiHidden/>
    <w:rsid w:val="00BC255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hart13@dghcoms.com.a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hart13@dghcoms.com.au"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Club-Service Guidelines K Sep19</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Club-Service Guidelines K Sep19</dc:title>
  <dc:creator>kalma</dc:creator>
  <cp:lastModifiedBy>Marilyn</cp:lastModifiedBy>
  <cp:revision>2</cp:revision>
  <dcterms:created xsi:type="dcterms:W3CDTF">2020-08-18T05:45:00Z</dcterms:created>
  <dcterms:modified xsi:type="dcterms:W3CDTF">2020-08-18T05:45:00Z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2019-09-28T00:00:00Z</vt:filetime>
  </property>
  <property fmtid="{D5CDD505-2E9C-101B-9397-08002B2CF9AE}" pid="3" name="LastSaved">
    <vt:filetime>2020-08-18T00:00:00Z</vt:filetime>
  </property>
</Properties>
</file>